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72E022" w14:textId="77777777" w:rsidR="003B7CA1" w:rsidRDefault="003B7CA1" w:rsidP="003B7CA1">
      <w:pPr>
        <w:jc w:val="center"/>
        <w:rPr>
          <w:rFonts w:cstheme="minorHAnsi"/>
          <w:sz w:val="22"/>
        </w:rPr>
      </w:pPr>
      <w:r>
        <w:rPr>
          <w:rFonts w:cstheme="minorHAnsi"/>
          <w:sz w:val="22"/>
        </w:rPr>
        <w:t>VOCE DI CAPITOLATO PER CONTROSOFFITTO WOODN</w:t>
      </w:r>
    </w:p>
    <w:p w14:paraId="2C0D3CFD" w14:textId="77777777" w:rsidR="003B7CA1" w:rsidRDefault="003B7CA1" w:rsidP="003B7CA1">
      <w:pPr>
        <w:rPr>
          <w:rFonts w:cstheme="minorHAnsi"/>
          <w:sz w:val="20"/>
          <w:szCs w:val="20"/>
        </w:rPr>
      </w:pPr>
    </w:p>
    <w:p w14:paraId="12E97813" w14:textId="77777777" w:rsidR="003B7CA1" w:rsidRDefault="003B7CA1" w:rsidP="003B7CA1">
      <w:pPr>
        <w:rPr>
          <w:rFonts w:cstheme="minorHAnsi"/>
          <w:sz w:val="20"/>
          <w:szCs w:val="20"/>
          <w:lang w:val="en-US"/>
        </w:rPr>
      </w:pPr>
      <w:r>
        <w:rPr>
          <w:rFonts w:cstheme="minorHAnsi"/>
          <w:sz w:val="20"/>
          <w:szCs w:val="20"/>
          <w:lang w:val="en-US"/>
        </w:rPr>
        <w:t xml:space="preserve">Cod.: TH5025 sezione dim. h50x25mm </w:t>
      </w:r>
    </w:p>
    <w:p w14:paraId="21B0334A" w14:textId="77777777" w:rsidR="003B7CA1" w:rsidRDefault="003B7CA1" w:rsidP="003B7CA1">
      <w:pPr>
        <w:rPr>
          <w:rFonts w:cstheme="minorHAnsi"/>
          <w:sz w:val="20"/>
          <w:szCs w:val="20"/>
          <w:lang w:val="en-US"/>
        </w:rPr>
      </w:pPr>
      <w:r>
        <w:rPr>
          <w:rFonts w:cstheme="minorHAnsi"/>
          <w:sz w:val="20"/>
          <w:szCs w:val="20"/>
          <w:lang w:val="en-US"/>
        </w:rPr>
        <w:t xml:space="preserve">Cod.: TH3050 sezione dim. h30x50mm </w:t>
      </w:r>
    </w:p>
    <w:p w14:paraId="7FAC752C" w14:textId="77777777" w:rsidR="003B7CA1" w:rsidRDefault="003B7CA1" w:rsidP="003B7CA1">
      <w:pPr>
        <w:rPr>
          <w:rFonts w:cstheme="minorHAnsi"/>
          <w:sz w:val="20"/>
          <w:szCs w:val="20"/>
          <w:lang w:val="en-US"/>
        </w:rPr>
      </w:pPr>
      <w:r>
        <w:rPr>
          <w:rFonts w:cstheme="minorHAnsi"/>
          <w:sz w:val="20"/>
          <w:szCs w:val="20"/>
          <w:lang w:val="en-US"/>
        </w:rPr>
        <w:t xml:space="preserve">Cod.: TH6050 sezione dim. h60x54mm </w:t>
      </w:r>
    </w:p>
    <w:p w14:paraId="16180A47" w14:textId="77777777" w:rsidR="003B7CA1" w:rsidRDefault="003B7CA1" w:rsidP="003B7CA1">
      <w:pPr>
        <w:rPr>
          <w:rFonts w:cstheme="minorHAnsi"/>
          <w:sz w:val="20"/>
          <w:szCs w:val="20"/>
          <w:lang w:val="en-US"/>
        </w:rPr>
      </w:pPr>
      <w:r>
        <w:rPr>
          <w:rFonts w:cstheme="minorHAnsi"/>
          <w:sz w:val="20"/>
          <w:szCs w:val="20"/>
          <w:lang w:val="en-US"/>
        </w:rPr>
        <w:t xml:space="preserve">Cod.: TH9050 sezione dim. h90x50mm </w:t>
      </w:r>
    </w:p>
    <w:p w14:paraId="334F11D9" w14:textId="77777777" w:rsidR="003B7CA1" w:rsidRDefault="003B7CA1" w:rsidP="003B7CA1">
      <w:pPr>
        <w:rPr>
          <w:rFonts w:cstheme="minorHAnsi"/>
          <w:sz w:val="20"/>
          <w:szCs w:val="20"/>
        </w:rPr>
      </w:pPr>
      <w:r>
        <w:rPr>
          <w:rFonts w:cstheme="minorHAnsi"/>
          <w:sz w:val="20"/>
          <w:szCs w:val="20"/>
        </w:rPr>
        <w:t>Cod.: TH14830 sezione dim. h30x148mm (sistema a gap 4 mm oppure a gap 40mm)</w:t>
      </w:r>
    </w:p>
    <w:p w14:paraId="7B6C7351" w14:textId="77777777" w:rsidR="003B7CA1" w:rsidRDefault="003B7CA1" w:rsidP="003B7CA1">
      <w:pPr>
        <w:rPr>
          <w:rFonts w:cstheme="minorHAnsi"/>
          <w:sz w:val="20"/>
          <w:szCs w:val="20"/>
        </w:rPr>
      </w:pPr>
      <w:r>
        <w:rPr>
          <w:rFonts w:cstheme="minorHAnsi"/>
          <w:sz w:val="20"/>
          <w:szCs w:val="20"/>
        </w:rPr>
        <w:t xml:space="preserve">Cod.: THZ5004 sezione dim. h4x50mm </w:t>
      </w:r>
    </w:p>
    <w:p w14:paraId="0A90E131" w14:textId="77777777" w:rsidR="003B7CA1" w:rsidRDefault="003B7CA1" w:rsidP="003B7CA1">
      <w:pPr>
        <w:rPr>
          <w:rFonts w:cstheme="minorHAnsi"/>
          <w:sz w:val="20"/>
          <w:szCs w:val="20"/>
        </w:rPr>
      </w:pPr>
    </w:p>
    <w:p w14:paraId="731BC487" w14:textId="77777777" w:rsidR="003B7CA1" w:rsidRDefault="003B7CA1" w:rsidP="003B7CA1">
      <w:pPr>
        <w:rPr>
          <w:rFonts w:cstheme="minorHAnsi"/>
          <w:sz w:val="20"/>
          <w:szCs w:val="20"/>
        </w:rPr>
      </w:pPr>
    </w:p>
    <w:p w14:paraId="0B4F63EF" w14:textId="77777777" w:rsidR="003B7CA1" w:rsidRDefault="003B7CA1" w:rsidP="003B7CA1">
      <w:pPr>
        <w:autoSpaceDE w:val="0"/>
        <w:autoSpaceDN w:val="0"/>
        <w:adjustRightInd w:val="0"/>
        <w:jc w:val="both"/>
        <w:rPr>
          <w:rFonts w:cstheme="minorHAnsi"/>
          <w:sz w:val="20"/>
          <w:szCs w:val="20"/>
        </w:rPr>
      </w:pPr>
      <w:r>
        <w:rPr>
          <w:rFonts w:cstheme="minorHAnsi"/>
          <w:b/>
          <w:sz w:val="20"/>
          <w:szCs w:val="20"/>
        </w:rPr>
        <w:t xml:space="preserve">Fornitura </w:t>
      </w:r>
      <w:r>
        <w:rPr>
          <w:rFonts w:cstheme="minorHAnsi"/>
          <w:sz w:val="20"/>
          <w:szCs w:val="20"/>
        </w:rPr>
        <w:t xml:space="preserve">di sistema a controsoffitto cod. </w:t>
      </w:r>
      <w:r>
        <w:rPr>
          <w:rFonts w:cstheme="minorHAnsi"/>
          <w:sz w:val="20"/>
          <w:szCs w:val="20"/>
          <w:highlight w:val="yellow"/>
        </w:rPr>
        <w:t xml:space="preserve">[…], </w:t>
      </w:r>
      <w:r>
        <w:rPr>
          <w:rFonts w:cstheme="minorHAnsi"/>
          <w:sz w:val="20"/>
          <w:szCs w:val="20"/>
        </w:rPr>
        <w:t xml:space="preserve">sezione cava di dim. </w:t>
      </w:r>
      <w:r>
        <w:rPr>
          <w:rFonts w:cstheme="minorHAnsi"/>
          <w:sz w:val="20"/>
          <w:szCs w:val="20"/>
          <w:highlight w:val="yellow"/>
        </w:rPr>
        <w:t>[…]</w:t>
      </w:r>
      <w:r>
        <w:rPr>
          <w:rFonts w:cstheme="minorHAnsi"/>
          <w:sz w:val="20"/>
          <w:szCs w:val="20"/>
        </w:rPr>
        <w:t xml:space="preserve">, </w:t>
      </w:r>
      <w:r>
        <w:rPr>
          <w:rFonts w:cstheme="minorHAnsi"/>
          <w:sz w:val="20"/>
          <w:szCs w:val="20"/>
          <w:highlight w:val="yellow"/>
        </w:rPr>
        <w:t>finitura liscia/spazzolata</w:t>
      </w:r>
      <w:r>
        <w:rPr>
          <w:rFonts w:cstheme="minorHAnsi"/>
          <w:sz w:val="20"/>
          <w:szCs w:val="20"/>
        </w:rPr>
        <w:t xml:space="preserve">, </w:t>
      </w:r>
      <w:r>
        <w:rPr>
          <w:rFonts w:cstheme="minorHAnsi"/>
          <w:sz w:val="20"/>
          <w:szCs w:val="20"/>
          <w:highlight w:val="yellow"/>
        </w:rPr>
        <w:t>colore […]</w:t>
      </w:r>
      <w:r>
        <w:rPr>
          <w:rFonts w:cstheme="minorHAnsi"/>
          <w:sz w:val="20"/>
          <w:szCs w:val="20"/>
        </w:rPr>
        <w:t xml:space="preserve">, in legno composito WOODN interamente prodotto in Italia, </w:t>
      </w:r>
      <w:bookmarkStart w:id="0" w:name="_Hlk104461609"/>
      <w:r>
        <w:rPr>
          <w:rFonts w:cstheme="minorHAnsi"/>
          <w:sz w:val="20"/>
          <w:szCs w:val="20"/>
        </w:rPr>
        <w:t xml:space="preserve">ottenuto mediante processo di estrusione che genera venature casuali in pasta e consente di effettuare lavorazioni superficiali come tagli o forature. </w:t>
      </w:r>
      <w:bookmarkEnd w:id="0"/>
      <w:r>
        <w:rPr>
          <w:rFonts w:cstheme="minorHAnsi"/>
          <w:sz w:val="20"/>
          <w:szCs w:val="20"/>
        </w:rPr>
        <w:t xml:space="preserve">Composto da farina di legno di pino/abete grezzo certificato FSC® </w:t>
      </w:r>
      <w:bookmarkStart w:id="1" w:name="_Hlk104466407"/>
      <w:r>
        <w:rPr>
          <w:rFonts w:cstheme="minorHAnsi"/>
          <w:color w:val="000000"/>
          <w:sz w:val="20"/>
          <w:szCs w:val="20"/>
        </w:rPr>
        <w:t xml:space="preserve">(marchio che identifica i prodotti contenenti legno proveniente da foreste gestite in maniera corretta e responsabile, secondo rigorosi standard ambientali, sociali ed economici, per prodotti in legno di faggio e abete </w:t>
      </w:r>
      <w:r>
        <w:rPr>
          <w:rFonts w:cstheme="minorHAnsi"/>
          <w:sz w:val="20"/>
          <w:szCs w:val="20"/>
        </w:rPr>
        <w:t>rosso)</w:t>
      </w:r>
      <w:bookmarkEnd w:id="1"/>
      <w:r>
        <w:rPr>
          <w:rFonts w:cstheme="minorHAnsi"/>
          <w:sz w:val="20"/>
          <w:szCs w:val="20"/>
        </w:rPr>
        <w:t xml:space="preserve"> -circa il 22%- e da una componente plastica poliolefinica ecologica PVC -circa 70%- con funzione protettiva e di protezione dagli assorbimenti, per ambiente esterno (prodotto secondo standard di </w:t>
      </w:r>
      <w:r>
        <w:rPr>
          <w:rFonts w:cstheme="minorHAnsi"/>
          <w:color w:val="000000"/>
          <w:sz w:val="20"/>
          <w:szCs w:val="20"/>
        </w:rPr>
        <w:t xml:space="preserve">Responsible Care® </w:t>
      </w:r>
      <w:r>
        <w:rPr>
          <w:rFonts w:cstheme="minorHAnsi"/>
          <w:sz w:val="20"/>
          <w:szCs w:val="20"/>
        </w:rPr>
        <w:t>e direttiva 2011/65/EU [RoHS2], che non ha subito precedenti, degradanti processi di trasformazione, nonché privo di sostanze pericolose quali piombo, cadmio, mercurio, cromo - contenuto di metalli pesanti [Pb, Ge, Cr, Hg] testato secondo GB18584-2001, GB18580-2001, &lt; 0,5 ppm</w:t>
      </w:r>
      <w:r>
        <w:rPr>
          <w:rFonts w:cstheme="minorHAnsi"/>
          <w:color w:val="000000"/>
          <w:sz w:val="20"/>
          <w:szCs w:val="20"/>
        </w:rPr>
        <w:t>)</w:t>
      </w:r>
      <w:r>
        <w:rPr>
          <w:rFonts w:cstheme="minorHAnsi"/>
          <w:sz w:val="20"/>
          <w:szCs w:val="20"/>
        </w:rPr>
        <w:t>. Additivato con anti UV, anti invecchiamento, ritardanti di fiamma, anti ossidanti.</w:t>
      </w:r>
    </w:p>
    <w:p w14:paraId="7FB98915" w14:textId="77777777" w:rsidR="003B7CA1" w:rsidRDefault="003B7CA1" w:rsidP="003B7CA1">
      <w:pPr>
        <w:autoSpaceDE w:val="0"/>
        <w:autoSpaceDN w:val="0"/>
        <w:adjustRightInd w:val="0"/>
        <w:jc w:val="both"/>
        <w:rPr>
          <w:rFonts w:cstheme="minorHAnsi"/>
          <w:sz w:val="20"/>
          <w:szCs w:val="20"/>
        </w:rPr>
      </w:pPr>
      <w:r>
        <w:rPr>
          <w:rFonts w:cstheme="minorHAnsi"/>
          <w:sz w:val="20"/>
          <w:szCs w:val="20"/>
        </w:rPr>
        <w:t xml:space="preserve">Esente da fessurazioni, scheggiature e dilamazioni anche dopo il taglio e la foratura. </w:t>
      </w:r>
    </w:p>
    <w:p w14:paraId="0BCCF2DA" w14:textId="77777777" w:rsidR="003B7CA1" w:rsidRDefault="003B7CA1" w:rsidP="003B7CA1">
      <w:pPr>
        <w:autoSpaceDE w:val="0"/>
        <w:autoSpaceDN w:val="0"/>
        <w:adjustRightInd w:val="0"/>
        <w:jc w:val="both"/>
        <w:rPr>
          <w:rFonts w:cstheme="minorHAnsi"/>
          <w:sz w:val="20"/>
          <w:szCs w:val="20"/>
        </w:rPr>
      </w:pPr>
      <w:r>
        <w:rPr>
          <w:rFonts w:cstheme="minorHAnsi"/>
          <w:sz w:val="20"/>
          <w:szCs w:val="20"/>
        </w:rPr>
        <w:t xml:space="preserve">Al variare della temperatura </w:t>
      </w:r>
      <w:bookmarkStart w:id="2" w:name="_Hlk104467729"/>
      <w:r>
        <w:rPr>
          <w:rFonts w:cstheme="minorHAnsi"/>
          <w:sz w:val="20"/>
          <w:szCs w:val="20"/>
        </w:rPr>
        <w:t xml:space="preserve">e umidità può subire </w:t>
      </w:r>
      <w:bookmarkEnd w:id="2"/>
      <w:r>
        <w:rPr>
          <w:rFonts w:cstheme="minorHAnsi"/>
          <w:sz w:val="20"/>
          <w:szCs w:val="20"/>
        </w:rPr>
        <w:t>dilatazioni e compressioni contenute e regolari, dopo la prima esposizione un ritiro non superiore allo 0.4% sulla lunghezza (valore massimo in accordo alla normativa EN 479:1995).</w:t>
      </w:r>
    </w:p>
    <w:p w14:paraId="508D515D" w14:textId="77777777" w:rsidR="003B7CA1" w:rsidRDefault="003B7CA1" w:rsidP="003B7CA1">
      <w:pPr>
        <w:autoSpaceDE w:val="0"/>
        <w:autoSpaceDN w:val="0"/>
        <w:adjustRightInd w:val="0"/>
        <w:jc w:val="both"/>
        <w:rPr>
          <w:rFonts w:cstheme="minorHAnsi"/>
          <w:sz w:val="20"/>
          <w:szCs w:val="20"/>
        </w:rPr>
      </w:pPr>
      <w:r>
        <w:rPr>
          <w:rFonts w:cstheme="minorHAnsi"/>
          <w:sz w:val="20"/>
          <w:szCs w:val="20"/>
        </w:rPr>
        <w:t xml:space="preserve">Sottostruttura in acciaio S235 verniciata in nero, fissata a struttura principale posta ad interasse di 400 mm. </w:t>
      </w:r>
    </w:p>
    <w:p w14:paraId="58773127" w14:textId="77777777" w:rsidR="003B7CA1" w:rsidRDefault="003B7CA1" w:rsidP="003B7CA1">
      <w:pPr>
        <w:autoSpaceDE w:val="0"/>
        <w:autoSpaceDN w:val="0"/>
        <w:adjustRightInd w:val="0"/>
        <w:jc w:val="both"/>
        <w:rPr>
          <w:rFonts w:cstheme="minorHAnsi"/>
          <w:sz w:val="20"/>
          <w:szCs w:val="20"/>
        </w:rPr>
      </w:pPr>
      <w:r>
        <w:rPr>
          <w:rFonts w:cstheme="minorHAnsi"/>
          <w:sz w:val="20"/>
          <w:szCs w:val="20"/>
        </w:rPr>
        <w:t xml:space="preserve">La fornitura </w:t>
      </w:r>
      <w:r>
        <w:rPr>
          <w:rFonts w:cstheme="minorHAnsi"/>
          <w:sz w:val="20"/>
          <w:szCs w:val="20"/>
          <w:highlight w:val="yellow"/>
        </w:rPr>
        <w:t>deve</w:t>
      </w:r>
      <w:r>
        <w:rPr>
          <w:rFonts w:cstheme="minorHAnsi"/>
          <w:sz w:val="20"/>
          <w:szCs w:val="20"/>
        </w:rPr>
        <w:t xml:space="preserve"> essere completata con elemento opzionale di chiusura cod. THZ5004 nello stesso materiale, finitura </w:t>
      </w:r>
      <w:r>
        <w:rPr>
          <w:rFonts w:cstheme="minorHAnsi"/>
          <w:sz w:val="20"/>
          <w:szCs w:val="20"/>
          <w:highlight w:val="yellow"/>
        </w:rPr>
        <w:t>e colore</w:t>
      </w:r>
      <w:r>
        <w:rPr>
          <w:rFonts w:cstheme="minorHAnsi"/>
          <w:sz w:val="20"/>
          <w:szCs w:val="20"/>
        </w:rPr>
        <w:t xml:space="preserve"> del profilo controsoffitto cod. </w:t>
      </w:r>
      <w:r>
        <w:rPr>
          <w:rFonts w:cstheme="minorHAnsi"/>
          <w:sz w:val="20"/>
          <w:szCs w:val="20"/>
          <w:highlight w:val="yellow"/>
        </w:rPr>
        <w:t>[…]</w:t>
      </w:r>
      <w:r>
        <w:rPr>
          <w:rFonts w:cstheme="minorHAnsi"/>
          <w:sz w:val="20"/>
          <w:szCs w:val="20"/>
        </w:rPr>
        <w:t>.</w:t>
      </w:r>
    </w:p>
    <w:p w14:paraId="6FA5933C" w14:textId="77777777" w:rsidR="003B7CA1" w:rsidRDefault="003B7CA1" w:rsidP="003B7CA1">
      <w:pPr>
        <w:autoSpaceDE w:val="0"/>
        <w:autoSpaceDN w:val="0"/>
        <w:adjustRightInd w:val="0"/>
        <w:jc w:val="both"/>
        <w:rPr>
          <w:rFonts w:cstheme="minorHAnsi"/>
          <w:b/>
          <w:bCs/>
          <w:sz w:val="20"/>
          <w:szCs w:val="20"/>
        </w:rPr>
      </w:pPr>
    </w:p>
    <w:p w14:paraId="3E0E5E7B" w14:textId="77777777" w:rsidR="003B7CA1" w:rsidRDefault="003B7CA1" w:rsidP="003B7CA1">
      <w:pPr>
        <w:autoSpaceDE w:val="0"/>
        <w:autoSpaceDN w:val="0"/>
        <w:adjustRightInd w:val="0"/>
        <w:jc w:val="both"/>
        <w:rPr>
          <w:rFonts w:cstheme="minorHAnsi"/>
          <w:sz w:val="20"/>
          <w:szCs w:val="20"/>
        </w:rPr>
      </w:pPr>
      <w:r>
        <w:rPr>
          <w:rFonts w:cstheme="minorHAnsi"/>
          <w:b/>
          <w:bCs/>
          <w:sz w:val="20"/>
          <w:szCs w:val="20"/>
        </w:rPr>
        <w:t>Posizionamento LEED</w:t>
      </w:r>
      <w:r>
        <w:rPr>
          <w:rFonts w:cstheme="minorHAnsi"/>
          <w:sz w:val="20"/>
          <w:szCs w:val="20"/>
        </w:rPr>
        <w:t xml:space="preserve"> (codice IT02-19092404 – contribuisce a </w:t>
      </w:r>
      <w:bookmarkStart w:id="3" w:name="_Hlk104458686"/>
      <w:r>
        <w:rPr>
          <w:rFonts w:cstheme="minorHAnsi"/>
          <w:sz w:val="20"/>
          <w:szCs w:val="20"/>
        </w:rPr>
        <w:t>SSC4, SSC5, EAP2, EAC2, MRC3, MRC5</w:t>
      </w:r>
      <w:bookmarkEnd w:id="3"/>
      <w:r>
        <w:rPr>
          <w:rFonts w:cstheme="minorHAnsi"/>
          <w:sz w:val="20"/>
          <w:szCs w:val="20"/>
        </w:rPr>
        <w:t>) secondo protocolli di Localizzazione e Trasporti (LT), Siti sostenibili (SS), Gestione delle acque (WE), Energia e Atmosfera (EA), Materiali e risorse (MR), Qualità dell’aria interna (EQ).</w:t>
      </w:r>
    </w:p>
    <w:p w14:paraId="484B6DEC" w14:textId="77777777" w:rsidR="003B7CA1" w:rsidRDefault="003B7CA1" w:rsidP="003B7CA1">
      <w:pPr>
        <w:autoSpaceDE w:val="0"/>
        <w:autoSpaceDN w:val="0"/>
        <w:adjustRightInd w:val="0"/>
        <w:jc w:val="both"/>
        <w:rPr>
          <w:rFonts w:eastAsia="Times New Roman" w:cstheme="minorHAnsi"/>
          <w:sz w:val="20"/>
          <w:szCs w:val="20"/>
          <w:lang w:eastAsia="it-IT"/>
        </w:rPr>
      </w:pPr>
    </w:p>
    <w:p w14:paraId="10C4DD64" w14:textId="77777777" w:rsidR="003B7CA1" w:rsidRDefault="003B7CA1" w:rsidP="003B7CA1">
      <w:pPr>
        <w:autoSpaceDE w:val="0"/>
        <w:autoSpaceDN w:val="0"/>
        <w:adjustRightInd w:val="0"/>
        <w:jc w:val="both"/>
        <w:rPr>
          <w:rFonts w:cstheme="minorHAnsi"/>
          <w:sz w:val="20"/>
          <w:szCs w:val="20"/>
        </w:rPr>
      </w:pPr>
      <w:r>
        <w:rPr>
          <w:rFonts w:cstheme="minorHAnsi"/>
          <w:b/>
          <w:bCs/>
          <w:sz w:val="20"/>
          <w:szCs w:val="20"/>
        </w:rPr>
        <w:t>Resistenza al fuoco</w:t>
      </w:r>
      <w:r>
        <w:rPr>
          <w:rFonts w:cstheme="minorHAnsi"/>
          <w:sz w:val="20"/>
          <w:szCs w:val="20"/>
        </w:rPr>
        <w:t xml:space="preserve"> </w:t>
      </w:r>
    </w:p>
    <w:p w14:paraId="6B6DF2F5" w14:textId="77777777" w:rsidR="003B7CA1" w:rsidRDefault="003B7CA1" w:rsidP="003B7CA1">
      <w:pPr>
        <w:autoSpaceDE w:val="0"/>
        <w:autoSpaceDN w:val="0"/>
        <w:adjustRightInd w:val="0"/>
        <w:jc w:val="both"/>
        <w:rPr>
          <w:rFonts w:cstheme="minorHAnsi"/>
          <w:sz w:val="20"/>
          <w:szCs w:val="20"/>
        </w:rPr>
      </w:pPr>
      <w:r>
        <w:rPr>
          <w:rFonts w:cstheme="minorHAnsi"/>
          <w:sz w:val="20"/>
          <w:szCs w:val="20"/>
        </w:rPr>
        <w:t>Classe 1 secondo UNI 9174:2010.</w:t>
      </w:r>
    </w:p>
    <w:p w14:paraId="740E9298" w14:textId="77777777" w:rsidR="003B7CA1" w:rsidRDefault="003B7CA1" w:rsidP="003B7CA1">
      <w:pPr>
        <w:autoSpaceDE w:val="0"/>
        <w:autoSpaceDN w:val="0"/>
        <w:adjustRightInd w:val="0"/>
        <w:jc w:val="both"/>
        <w:rPr>
          <w:rFonts w:cstheme="minorHAnsi"/>
          <w:sz w:val="20"/>
          <w:szCs w:val="20"/>
        </w:rPr>
      </w:pPr>
      <w:r>
        <w:rPr>
          <w:rFonts w:cstheme="minorHAnsi"/>
          <w:sz w:val="20"/>
          <w:szCs w:val="20"/>
        </w:rPr>
        <w:t>Classe A secondo ASTM E84, indice di propagazione della fiamma.</w:t>
      </w:r>
    </w:p>
    <w:p w14:paraId="6E1AB924" w14:textId="77777777" w:rsidR="003B7CA1" w:rsidRDefault="003B7CA1" w:rsidP="003B7CA1">
      <w:pPr>
        <w:autoSpaceDE w:val="0"/>
        <w:autoSpaceDN w:val="0"/>
        <w:adjustRightInd w:val="0"/>
        <w:jc w:val="both"/>
        <w:rPr>
          <w:rFonts w:cstheme="minorHAnsi"/>
          <w:sz w:val="20"/>
          <w:szCs w:val="20"/>
        </w:rPr>
      </w:pPr>
      <w:r>
        <w:rPr>
          <w:rFonts w:cstheme="minorHAnsi"/>
          <w:sz w:val="20"/>
          <w:szCs w:val="20"/>
        </w:rPr>
        <w:t>Classe A secondo ASTM E84, indice di sviluppo di fumo</w:t>
      </w:r>
    </w:p>
    <w:p w14:paraId="123D97E3" w14:textId="77777777" w:rsidR="003B7CA1" w:rsidRDefault="003B7CA1" w:rsidP="003B7CA1">
      <w:pPr>
        <w:autoSpaceDE w:val="0"/>
        <w:autoSpaceDN w:val="0"/>
        <w:adjustRightInd w:val="0"/>
        <w:jc w:val="both"/>
        <w:rPr>
          <w:rFonts w:cstheme="minorHAnsi"/>
          <w:sz w:val="20"/>
          <w:szCs w:val="20"/>
        </w:rPr>
      </w:pPr>
      <w:r>
        <w:rPr>
          <w:rFonts w:cstheme="minorHAnsi"/>
          <w:sz w:val="20"/>
          <w:szCs w:val="20"/>
        </w:rPr>
        <w:t xml:space="preserve">Classe V-0 secondo UL94, </w:t>
      </w:r>
    </w:p>
    <w:p w14:paraId="5FF8920A" w14:textId="77777777" w:rsidR="003B7CA1" w:rsidRDefault="003B7CA1" w:rsidP="003B7CA1">
      <w:pPr>
        <w:autoSpaceDE w:val="0"/>
        <w:autoSpaceDN w:val="0"/>
        <w:adjustRightInd w:val="0"/>
        <w:jc w:val="both"/>
        <w:rPr>
          <w:rFonts w:cstheme="minorHAnsi"/>
          <w:sz w:val="20"/>
          <w:szCs w:val="20"/>
        </w:rPr>
      </w:pPr>
      <w:r>
        <w:rPr>
          <w:rFonts w:cstheme="minorHAnsi"/>
          <w:sz w:val="20"/>
          <w:szCs w:val="20"/>
        </w:rPr>
        <w:t xml:space="preserve">BAL-29 secondo AS 3959-2009. </w:t>
      </w:r>
    </w:p>
    <w:p w14:paraId="5E077AC6" w14:textId="77777777" w:rsidR="003B7CA1" w:rsidRDefault="003B7CA1" w:rsidP="003B7CA1">
      <w:pPr>
        <w:autoSpaceDE w:val="0"/>
        <w:autoSpaceDN w:val="0"/>
        <w:adjustRightInd w:val="0"/>
        <w:jc w:val="both"/>
        <w:rPr>
          <w:rFonts w:cstheme="minorHAnsi"/>
          <w:sz w:val="20"/>
          <w:szCs w:val="20"/>
        </w:rPr>
      </w:pPr>
      <w:r>
        <w:rPr>
          <w:rFonts w:cstheme="minorHAnsi"/>
          <w:sz w:val="20"/>
          <w:szCs w:val="20"/>
        </w:rPr>
        <w:t>Temperatura di accensione secondo ASTM D1929 476 °C.</w:t>
      </w:r>
    </w:p>
    <w:p w14:paraId="5FFDE268" w14:textId="77777777" w:rsidR="003B7CA1" w:rsidRDefault="003B7CA1" w:rsidP="003B7CA1">
      <w:pPr>
        <w:autoSpaceDE w:val="0"/>
        <w:autoSpaceDN w:val="0"/>
        <w:adjustRightInd w:val="0"/>
        <w:jc w:val="both"/>
        <w:rPr>
          <w:rFonts w:cstheme="minorHAnsi"/>
          <w:sz w:val="20"/>
          <w:szCs w:val="20"/>
        </w:rPr>
      </w:pPr>
      <w:r>
        <w:rPr>
          <w:rFonts w:cstheme="minorHAnsi"/>
          <w:sz w:val="20"/>
          <w:szCs w:val="20"/>
        </w:rPr>
        <w:t xml:space="preserve">Flusso radiante critico secondo AS ISO 9239 e ASTM E648 ≥ 11 kW/m2 e &gt; 1,03 W/cm2 (classe I per NFPA 101). </w:t>
      </w:r>
    </w:p>
    <w:p w14:paraId="29E39FE0" w14:textId="0DD7D755" w:rsidR="003B7CA1" w:rsidRDefault="003B7CA1" w:rsidP="003B7CA1">
      <w:pPr>
        <w:autoSpaceDE w:val="0"/>
        <w:autoSpaceDN w:val="0"/>
        <w:adjustRightInd w:val="0"/>
        <w:jc w:val="both"/>
        <w:rPr>
          <w:rFonts w:cstheme="minorHAnsi"/>
          <w:sz w:val="20"/>
          <w:szCs w:val="20"/>
        </w:rPr>
      </w:pPr>
      <w:r>
        <w:rPr>
          <w:rFonts w:cstheme="minorHAnsi"/>
          <w:sz w:val="20"/>
          <w:szCs w:val="20"/>
        </w:rPr>
        <w:t xml:space="preserve">Propagazione della fiamma, calore sviluppato e fumo sviluppato secondo AS/NZS 1530.3:1999 infiammabilità (0-20) = 8, propagazione della fiamma (0-10) = 0, calore sviluppato (0-10) = 0, Fumo sviluppato (0-10) = 7. </w:t>
      </w:r>
    </w:p>
    <w:p w14:paraId="2C6C9BEA" w14:textId="77777777" w:rsidR="003B7CA1" w:rsidRDefault="003B7CA1" w:rsidP="003B7CA1">
      <w:pPr>
        <w:autoSpaceDE w:val="0"/>
        <w:autoSpaceDN w:val="0"/>
        <w:adjustRightInd w:val="0"/>
        <w:jc w:val="both"/>
        <w:rPr>
          <w:rFonts w:cstheme="minorHAnsi"/>
          <w:sz w:val="20"/>
          <w:szCs w:val="20"/>
        </w:rPr>
      </w:pPr>
      <w:bookmarkStart w:id="4" w:name="_GoBack"/>
      <w:bookmarkEnd w:id="4"/>
    </w:p>
    <w:p w14:paraId="1C792407" w14:textId="77777777" w:rsidR="003B7CA1" w:rsidRDefault="003B7CA1" w:rsidP="003B7CA1">
      <w:pPr>
        <w:autoSpaceDE w:val="0"/>
        <w:autoSpaceDN w:val="0"/>
        <w:adjustRightInd w:val="0"/>
        <w:jc w:val="both"/>
        <w:rPr>
          <w:rFonts w:cstheme="minorHAnsi"/>
          <w:sz w:val="20"/>
          <w:szCs w:val="20"/>
        </w:rPr>
      </w:pPr>
      <w:r>
        <w:rPr>
          <w:rFonts w:cstheme="minorHAnsi"/>
          <w:b/>
          <w:bCs/>
          <w:sz w:val="20"/>
          <w:szCs w:val="20"/>
        </w:rPr>
        <w:t>Resistenza all'invecchiamento</w:t>
      </w:r>
      <w:r>
        <w:rPr>
          <w:rFonts w:cstheme="minorHAnsi"/>
          <w:sz w:val="20"/>
          <w:szCs w:val="20"/>
        </w:rPr>
        <w:t xml:space="preserve"> o modulo elastico [a flessione] dopo test di resistenza all’invecchiamento UNI EN ISO 178, 2070 Mpa [@23 °C], 660 Mpa [@65 °C], carico di snervamento [a flessione] secondo UNI EN ISO 178 31 Mpa [@23 °C].</w:t>
      </w:r>
    </w:p>
    <w:p w14:paraId="6E67D73D" w14:textId="77777777" w:rsidR="003B7CA1" w:rsidRDefault="003B7CA1" w:rsidP="003B7CA1">
      <w:pPr>
        <w:autoSpaceDE w:val="0"/>
        <w:autoSpaceDN w:val="0"/>
        <w:adjustRightInd w:val="0"/>
        <w:jc w:val="both"/>
        <w:rPr>
          <w:rFonts w:eastAsia="Times New Roman" w:cstheme="minorHAnsi"/>
          <w:sz w:val="20"/>
          <w:szCs w:val="20"/>
          <w:lang w:eastAsia="it-IT"/>
        </w:rPr>
      </w:pPr>
      <w:r>
        <w:rPr>
          <w:rFonts w:cstheme="minorHAnsi"/>
          <w:sz w:val="20"/>
          <w:szCs w:val="20"/>
        </w:rPr>
        <w:t xml:space="preserve">Resistenza a trazione del materiale invecchiato [esposto a lampade allo Xeno] secondo ASTM D638-10 [prova di trazione] e secondo ASTM G155-050, risultati: differenza dopo 2 mesi di esposizione ~5,21%, differenza dopo 3 mesi di esposizione ~6,9%, [soddisfa i requisiti da rispettare con Miami Dade e Florida Building Code 2014]). </w:t>
      </w:r>
    </w:p>
    <w:p w14:paraId="20B92FEE" w14:textId="77777777" w:rsidR="003B7CA1" w:rsidRDefault="003B7CA1" w:rsidP="003B7CA1">
      <w:pPr>
        <w:autoSpaceDE w:val="0"/>
        <w:autoSpaceDN w:val="0"/>
        <w:adjustRightInd w:val="0"/>
        <w:jc w:val="both"/>
        <w:rPr>
          <w:rFonts w:cstheme="minorHAnsi"/>
          <w:sz w:val="20"/>
          <w:szCs w:val="20"/>
        </w:rPr>
      </w:pPr>
      <w:r>
        <w:rPr>
          <w:rFonts w:cstheme="minorHAnsi"/>
          <w:sz w:val="20"/>
          <w:szCs w:val="20"/>
        </w:rPr>
        <w:lastRenderedPageBreak/>
        <w:t>Resistente all’umidità e agli agenti atmosferici secondo ASTM D1037: assorbimento d’acqua e umidità 0,07%. Resistente all’azione dei microorganismi marini, ai funghi e agli insetti (valutazione dell’azione dei microorganismi secondo EN ISO 846:97, risultato prova: 1, su scala da 0 a 5)</w:t>
      </w:r>
    </w:p>
    <w:p w14:paraId="7B707F2B" w14:textId="77777777" w:rsidR="003B7CA1" w:rsidRDefault="003B7CA1" w:rsidP="003B7CA1">
      <w:pPr>
        <w:jc w:val="both"/>
        <w:rPr>
          <w:rFonts w:eastAsia="Times New Roman" w:cstheme="minorHAnsi"/>
          <w:sz w:val="20"/>
          <w:szCs w:val="20"/>
          <w:lang w:eastAsia="it-IT"/>
        </w:rPr>
      </w:pPr>
    </w:p>
    <w:p w14:paraId="25CBA04A" w14:textId="77777777" w:rsidR="003B7CA1" w:rsidRDefault="003B7CA1" w:rsidP="003B7CA1">
      <w:pPr>
        <w:autoSpaceDE w:val="0"/>
        <w:autoSpaceDN w:val="0"/>
        <w:adjustRightInd w:val="0"/>
        <w:jc w:val="both"/>
        <w:rPr>
          <w:rFonts w:cstheme="minorHAnsi"/>
          <w:sz w:val="20"/>
          <w:szCs w:val="20"/>
        </w:rPr>
      </w:pPr>
      <w:r>
        <w:rPr>
          <w:rFonts w:cstheme="minorHAnsi"/>
          <w:b/>
          <w:bCs/>
          <w:sz w:val="20"/>
          <w:szCs w:val="20"/>
        </w:rPr>
        <w:t>Movimentazione, pulizia, manutenzione e stoccaggio</w:t>
      </w:r>
      <w:r>
        <w:rPr>
          <w:rFonts w:cstheme="minorHAnsi"/>
          <w:sz w:val="20"/>
          <w:szCs w:val="20"/>
        </w:rPr>
        <w:t xml:space="preserve"> </w:t>
      </w:r>
    </w:p>
    <w:p w14:paraId="0FD1008A" w14:textId="77777777" w:rsidR="003B7CA1" w:rsidRDefault="003B7CA1" w:rsidP="003B7CA1">
      <w:pPr>
        <w:autoSpaceDE w:val="0"/>
        <w:autoSpaceDN w:val="0"/>
        <w:adjustRightInd w:val="0"/>
        <w:jc w:val="both"/>
        <w:rPr>
          <w:rFonts w:cstheme="minorHAnsi"/>
          <w:sz w:val="20"/>
          <w:szCs w:val="20"/>
        </w:rPr>
      </w:pPr>
      <w:r>
        <w:rPr>
          <w:rFonts w:cstheme="minorHAnsi"/>
          <w:sz w:val="20"/>
          <w:szCs w:val="20"/>
        </w:rPr>
        <w:t>NON sono prescritti trattamenti periodici con prodotti specifici di pulizia al fine di mantenere la validità della garanzia di 5 anni sul prodotto. Prima della posa, conservare il materiale su una superficie piana, fornendo un supporto stabile su tutta la superficie, in un’area asciutta e pulita, protetta dal gelo e dalla luce diretta del sole, a temperature prossime alla temperatura di posa per almeno 48 ore prima dell’installazione. Anche se Woodn richiede una manutenzione minima, è consigliabile pulire il materiale al termine dell’installazione ed effettuare periodicamente un’ordinaria di pulizia. Lo sporco può essere facilmente rimosso con acqua ad alta pressione (evitando pressioni superiori agli 80 bar) seguendo la direzione delle scanalature dei profili ed utilizzando un ugello relativamente largo.</w:t>
      </w:r>
    </w:p>
    <w:p w14:paraId="600E76D0" w14:textId="77777777" w:rsidR="003B7CA1" w:rsidRDefault="003B7CA1" w:rsidP="003B7CA1">
      <w:pPr>
        <w:jc w:val="both"/>
        <w:rPr>
          <w:rFonts w:cstheme="minorHAnsi"/>
          <w:sz w:val="20"/>
          <w:szCs w:val="20"/>
        </w:rPr>
      </w:pPr>
    </w:p>
    <w:p w14:paraId="25F0EABF" w14:textId="3F0715B0" w:rsidR="003B7CA1" w:rsidRDefault="003B7CA1" w:rsidP="003B7CA1">
      <w:pPr>
        <w:jc w:val="both"/>
        <w:rPr>
          <w:rFonts w:cstheme="minorHAnsi"/>
          <w:sz w:val="20"/>
          <w:szCs w:val="20"/>
        </w:rPr>
      </w:pPr>
      <w:r>
        <w:rPr>
          <w:rFonts w:cstheme="minorHAnsi"/>
          <w:b/>
          <w:sz w:val="20"/>
          <w:szCs w:val="20"/>
        </w:rPr>
        <w:t xml:space="preserve">Posa </w:t>
      </w:r>
      <w:r>
        <w:rPr>
          <w:rFonts w:cstheme="minorHAnsi"/>
          <w:sz w:val="20"/>
          <w:szCs w:val="20"/>
        </w:rPr>
        <w:t xml:space="preserve">di sistema a controsoffitto in legno composito WOODN, compreso di sottostruttura in acciaio S235 conforme alle prescrizioni del produttore. Eventuali condizioni particolari di installazione sono da valutarsi col fornitore del prodotto. Finitura e colore da definire con la D.L. Allo scopo di garantire il mantenimento nel tempo degli spazi di dilatazione, viene lasciata una fuga tra le teste delle doghe di dimensione adeguata alla lunghezza del profilo. Istruzioni di montaggio, schede con tipologici di fissaggio per profilo disponibili su </w:t>
      </w:r>
      <w:hyperlink r:id="rId8" w:history="1">
        <w:r>
          <w:rPr>
            <w:rStyle w:val="Collegamentoipertestuale"/>
            <w:rFonts w:cstheme="minorHAnsi"/>
            <w:sz w:val="20"/>
            <w:szCs w:val="20"/>
          </w:rPr>
          <w:t>www.woodn.com</w:t>
        </w:r>
      </w:hyperlink>
      <w:r>
        <w:rPr>
          <w:rFonts w:cstheme="minorHAnsi"/>
          <w:sz w:val="20"/>
          <w:szCs w:val="20"/>
        </w:rPr>
        <w:t xml:space="preserve"> o alla mail </w:t>
      </w:r>
      <w:hyperlink r:id="rId9" w:history="1">
        <w:r w:rsidRPr="00FE1947">
          <w:rPr>
            <w:rStyle w:val="Collegamentoipertestuale"/>
            <w:rFonts w:cstheme="minorHAnsi"/>
            <w:sz w:val="20"/>
            <w:szCs w:val="20"/>
          </w:rPr>
          <w:t>vendite@woodn.com</w:t>
        </w:r>
      </w:hyperlink>
      <w:r>
        <w:rPr>
          <w:rFonts w:cstheme="minorHAnsi"/>
          <w:sz w:val="20"/>
          <w:szCs w:val="20"/>
        </w:rPr>
        <w:t xml:space="preserve"> </w:t>
      </w:r>
    </w:p>
    <w:p w14:paraId="02A9A781" w14:textId="77777777" w:rsidR="001E3B2D" w:rsidRPr="00392858" w:rsidRDefault="001E3B2D" w:rsidP="00392858"/>
    <w:sectPr w:rsidR="001E3B2D" w:rsidRPr="00392858" w:rsidSect="00EF0722">
      <w:headerReference w:type="default" r:id="rId10"/>
      <w:footerReference w:type="default" r:id="rId11"/>
      <w:pgSz w:w="11906" w:h="16838"/>
      <w:pgMar w:top="1418" w:right="1134" w:bottom="1474"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631FF7" w14:textId="77777777" w:rsidR="00197B21" w:rsidRDefault="00197B21" w:rsidP="001E3B2D">
      <w:r>
        <w:separator/>
      </w:r>
    </w:p>
  </w:endnote>
  <w:endnote w:type="continuationSeparator" w:id="0">
    <w:p w14:paraId="1E0C2F7B" w14:textId="77777777" w:rsidR="00197B21" w:rsidRDefault="00197B21" w:rsidP="001E3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B5731" w14:textId="1FF99DF2" w:rsidR="001E3B2D" w:rsidRDefault="00F254BE">
    <w:pPr>
      <w:pStyle w:val="Pidipagina"/>
    </w:pPr>
    <w:r>
      <w:rPr>
        <w:noProof/>
        <w:lang w:eastAsia="it-IT"/>
      </w:rPr>
      <w:drawing>
        <wp:anchor distT="0" distB="0" distL="114300" distR="114300" simplePos="0" relativeHeight="251659264" behindDoc="0" locked="0" layoutInCell="1" allowOverlap="1" wp14:anchorId="462D0CD4" wp14:editId="788EA9BA">
          <wp:simplePos x="0" y="0"/>
          <wp:positionH relativeFrom="column">
            <wp:posOffset>-812165</wp:posOffset>
          </wp:positionH>
          <wp:positionV relativeFrom="paragraph">
            <wp:posOffset>-538115</wp:posOffset>
          </wp:positionV>
          <wp:extent cx="7654925" cy="624205"/>
          <wp:effectExtent l="0" t="0" r="3175" b="4445"/>
          <wp:wrapSquare wrapText="bothSides"/>
          <wp:docPr id="338665983" name="Immagine 338665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282723" name="Immagine 1"/>
                  <pic:cNvPicPr/>
                </pic:nvPicPr>
                <pic:blipFill rotWithShape="1">
                  <a:blip r:embed="rId1">
                    <a:extLst>
                      <a:ext uri="{28A0092B-C50C-407E-A947-70E740481C1C}">
                        <a14:useLocalDpi xmlns:a14="http://schemas.microsoft.com/office/drawing/2010/main" val="0"/>
                      </a:ext>
                    </a:extLst>
                  </a:blip>
                  <a:srcRect t="5978" b="25300"/>
                  <a:stretch/>
                </pic:blipFill>
                <pic:spPr bwMode="auto">
                  <a:xfrm>
                    <a:off x="0" y="0"/>
                    <a:ext cx="7654925" cy="6242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18FD61" w14:textId="77777777" w:rsidR="00197B21" w:rsidRDefault="00197B21" w:rsidP="001E3B2D">
      <w:r>
        <w:separator/>
      </w:r>
    </w:p>
  </w:footnote>
  <w:footnote w:type="continuationSeparator" w:id="0">
    <w:p w14:paraId="42523101" w14:textId="77777777" w:rsidR="00197B21" w:rsidRDefault="00197B21" w:rsidP="001E3B2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BBA94" w14:textId="2490F6D2" w:rsidR="001E3B2D" w:rsidRDefault="00F254BE">
    <w:pPr>
      <w:pStyle w:val="Intestazione"/>
    </w:pPr>
    <w:r>
      <w:rPr>
        <w:noProof/>
        <w:lang w:eastAsia="it-IT"/>
      </w:rPr>
      <w:drawing>
        <wp:anchor distT="0" distB="0" distL="114300" distR="114300" simplePos="0" relativeHeight="251660288" behindDoc="0" locked="0" layoutInCell="1" allowOverlap="1" wp14:anchorId="68598BA3" wp14:editId="7F694731">
          <wp:simplePos x="0" y="0"/>
          <wp:positionH relativeFrom="column">
            <wp:posOffset>-814743</wp:posOffset>
          </wp:positionH>
          <wp:positionV relativeFrom="paragraph">
            <wp:posOffset>-499984</wp:posOffset>
          </wp:positionV>
          <wp:extent cx="7585075" cy="1645285"/>
          <wp:effectExtent l="0" t="0" r="0" b="5715"/>
          <wp:wrapSquare wrapText="bothSides"/>
          <wp:docPr id="1890843975" name="Immagine 1890843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070145" name="Immagine 2"/>
                  <pic:cNvPicPr/>
                </pic:nvPicPr>
                <pic:blipFill>
                  <a:blip r:embed="rId1">
                    <a:extLst>
                      <a:ext uri="{28A0092B-C50C-407E-A947-70E740481C1C}">
                        <a14:useLocalDpi xmlns:a14="http://schemas.microsoft.com/office/drawing/2010/main" val="0"/>
                      </a:ext>
                    </a:extLst>
                  </a:blip>
                  <a:stretch>
                    <a:fillRect/>
                  </a:stretch>
                </pic:blipFill>
                <pic:spPr>
                  <a:xfrm>
                    <a:off x="0" y="0"/>
                    <a:ext cx="7585075" cy="1645285"/>
                  </a:xfrm>
                  <a:prstGeom prst="rect">
                    <a:avLst/>
                  </a:prstGeom>
                </pic:spPr>
              </pic:pic>
            </a:graphicData>
          </a:graphic>
          <wp14:sizeRelH relativeFrom="margin">
            <wp14:pctWidth>0</wp14:pctWidth>
          </wp14:sizeRelH>
          <wp14:sizeRelV relativeFrom="margin">
            <wp14:pctHeight>0</wp14:pctHeight>
          </wp14:sizeRelV>
        </wp:anchor>
      </w:drawing>
    </w:r>
  </w:p>
  <w:p w14:paraId="007AC6F4" w14:textId="77777777" w:rsidR="001E3B2D" w:rsidRDefault="001E3B2D">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3B6BD7"/>
    <w:multiLevelType w:val="hybridMultilevel"/>
    <w:tmpl w:val="F376B328"/>
    <w:lvl w:ilvl="0" w:tplc="04100015">
      <w:start w:val="1"/>
      <w:numFmt w:val="upperLetter"/>
      <w:lvlText w:val="%1."/>
      <w:lvlJc w:val="left"/>
      <w:pPr>
        <w:ind w:left="1077" w:hanging="360"/>
      </w:pPr>
    </w:lvl>
    <w:lvl w:ilvl="1" w:tplc="04100019">
      <w:start w:val="1"/>
      <w:numFmt w:val="lowerLetter"/>
      <w:lvlText w:val="%2."/>
      <w:lvlJc w:val="left"/>
      <w:pPr>
        <w:ind w:left="1797" w:hanging="360"/>
      </w:pPr>
    </w:lvl>
    <w:lvl w:ilvl="2" w:tplc="0410001B">
      <w:start w:val="1"/>
      <w:numFmt w:val="lowerRoman"/>
      <w:lvlText w:val="%3."/>
      <w:lvlJc w:val="right"/>
      <w:pPr>
        <w:ind w:left="2697" w:hanging="360"/>
      </w:pPr>
    </w:lvl>
    <w:lvl w:ilvl="3" w:tplc="0410000F">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B2D"/>
    <w:rsid w:val="0003072A"/>
    <w:rsid w:val="00197B21"/>
    <w:rsid w:val="001E3B2D"/>
    <w:rsid w:val="002421E6"/>
    <w:rsid w:val="00271F8D"/>
    <w:rsid w:val="002B02F8"/>
    <w:rsid w:val="002C2F64"/>
    <w:rsid w:val="00325F0B"/>
    <w:rsid w:val="00392858"/>
    <w:rsid w:val="00396509"/>
    <w:rsid w:val="003B7CA1"/>
    <w:rsid w:val="00643610"/>
    <w:rsid w:val="00B02297"/>
    <w:rsid w:val="00D865C4"/>
    <w:rsid w:val="00DF2DF9"/>
    <w:rsid w:val="00EF0722"/>
    <w:rsid w:val="00F076DA"/>
    <w:rsid w:val="00F254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761E7F"/>
  <w15:chartTrackingRefBased/>
  <w15:docId w15:val="{C1BF8D42-7C3C-AB43-AA69-AB612115F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E3B2D"/>
    <w:pPr>
      <w:tabs>
        <w:tab w:val="center" w:pos="4819"/>
        <w:tab w:val="right" w:pos="9638"/>
      </w:tabs>
    </w:pPr>
  </w:style>
  <w:style w:type="character" w:customStyle="1" w:styleId="IntestazioneCarattere">
    <w:name w:val="Intestazione Carattere"/>
    <w:basedOn w:val="Carpredefinitoparagrafo"/>
    <w:link w:val="Intestazione"/>
    <w:uiPriority w:val="99"/>
    <w:rsid w:val="001E3B2D"/>
  </w:style>
  <w:style w:type="paragraph" w:styleId="Pidipagina">
    <w:name w:val="footer"/>
    <w:basedOn w:val="Normale"/>
    <w:link w:val="PidipaginaCarattere"/>
    <w:uiPriority w:val="99"/>
    <w:unhideWhenUsed/>
    <w:rsid w:val="001E3B2D"/>
    <w:pPr>
      <w:tabs>
        <w:tab w:val="center" w:pos="4819"/>
        <w:tab w:val="right" w:pos="9638"/>
      </w:tabs>
    </w:pPr>
  </w:style>
  <w:style w:type="character" w:customStyle="1" w:styleId="PidipaginaCarattere">
    <w:name w:val="Piè di pagina Carattere"/>
    <w:basedOn w:val="Carpredefinitoparagrafo"/>
    <w:link w:val="Pidipagina"/>
    <w:uiPriority w:val="99"/>
    <w:rsid w:val="001E3B2D"/>
  </w:style>
  <w:style w:type="paragraph" w:styleId="Paragrafoelenco">
    <w:name w:val="List Paragraph"/>
    <w:basedOn w:val="Normale"/>
    <w:uiPriority w:val="34"/>
    <w:qFormat/>
    <w:rsid w:val="00EF0722"/>
    <w:pPr>
      <w:spacing w:after="160" w:line="259" w:lineRule="auto"/>
      <w:ind w:left="720"/>
      <w:contextualSpacing/>
    </w:pPr>
    <w:rPr>
      <w:kern w:val="2"/>
      <w:sz w:val="22"/>
      <w:szCs w:val="22"/>
      <w14:ligatures w14:val="standardContextual"/>
    </w:rPr>
  </w:style>
  <w:style w:type="character" w:styleId="Rimandocommento">
    <w:name w:val="annotation reference"/>
    <w:basedOn w:val="Carpredefinitoparagrafo"/>
    <w:uiPriority w:val="99"/>
    <w:semiHidden/>
    <w:unhideWhenUsed/>
    <w:rsid w:val="00EF0722"/>
    <w:rPr>
      <w:sz w:val="16"/>
      <w:szCs w:val="16"/>
    </w:rPr>
  </w:style>
  <w:style w:type="paragraph" w:styleId="Testocommento">
    <w:name w:val="annotation text"/>
    <w:basedOn w:val="Normale"/>
    <w:link w:val="TestocommentoCarattere"/>
    <w:uiPriority w:val="99"/>
    <w:unhideWhenUsed/>
    <w:rsid w:val="00EF0722"/>
    <w:pPr>
      <w:spacing w:after="160"/>
    </w:pPr>
    <w:rPr>
      <w:kern w:val="2"/>
      <w:sz w:val="20"/>
      <w:szCs w:val="20"/>
      <w14:ligatures w14:val="standardContextual"/>
    </w:rPr>
  </w:style>
  <w:style w:type="character" w:customStyle="1" w:styleId="TestocommentoCarattere">
    <w:name w:val="Testo commento Carattere"/>
    <w:basedOn w:val="Carpredefinitoparagrafo"/>
    <w:link w:val="Testocommento"/>
    <w:uiPriority w:val="99"/>
    <w:rsid w:val="00EF0722"/>
    <w:rPr>
      <w:kern w:val="2"/>
      <w:sz w:val="20"/>
      <w:szCs w:val="20"/>
      <w14:ligatures w14:val="standardContextual"/>
    </w:rPr>
  </w:style>
  <w:style w:type="paragraph" w:styleId="Testonotaapidipagina">
    <w:name w:val="footnote text"/>
    <w:basedOn w:val="Normale"/>
    <w:link w:val="TestonotaapidipaginaCarattere"/>
    <w:uiPriority w:val="99"/>
    <w:semiHidden/>
    <w:unhideWhenUsed/>
    <w:rsid w:val="00EF0722"/>
    <w:rPr>
      <w:kern w:val="2"/>
      <w:sz w:val="20"/>
      <w:szCs w:val="20"/>
      <w14:ligatures w14:val="standardContextual"/>
    </w:rPr>
  </w:style>
  <w:style w:type="character" w:customStyle="1" w:styleId="TestonotaapidipaginaCarattere">
    <w:name w:val="Testo nota a piè di pagina Carattere"/>
    <w:basedOn w:val="Carpredefinitoparagrafo"/>
    <w:link w:val="Testonotaapidipagina"/>
    <w:uiPriority w:val="99"/>
    <w:semiHidden/>
    <w:rsid w:val="00EF0722"/>
    <w:rPr>
      <w:kern w:val="2"/>
      <w:sz w:val="20"/>
      <w:szCs w:val="20"/>
      <w14:ligatures w14:val="standardContextual"/>
    </w:rPr>
  </w:style>
  <w:style w:type="character" w:styleId="Rimandonotaapidipagina">
    <w:name w:val="footnote reference"/>
    <w:basedOn w:val="Carpredefinitoparagrafo"/>
    <w:uiPriority w:val="99"/>
    <w:semiHidden/>
    <w:unhideWhenUsed/>
    <w:rsid w:val="00EF0722"/>
    <w:rPr>
      <w:vertAlign w:val="superscript"/>
    </w:rPr>
  </w:style>
  <w:style w:type="character" w:styleId="Collegamentoipertestuale">
    <w:name w:val="Hyperlink"/>
    <w:basedOn w:val="Carpredefinitoparagrafo"/>
    <w:uiPriority w:val="99"/>
    <w:unhideWhenUsed/>
    <w:rsid w:val="003B7C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787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odn.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endite@woodn.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DE1EF-0394-4F87-ABCB-17B67AA5D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801</Words>
  <Characters>4569</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Lokomotiv</dc:creator>
  <cp:keywords/>
  <dc:description/>
  <cp:lastModifiedBy>Alice Righi</cp:lastModifiedBy>
  <cp:revision>5</cp:revision>
  <cp:lastPrinted>2023-10-26T10:41:00Z</cp:lastPrinted>
  <dcterms:created xsi:type="dcterms:W3CDTF">2023-11-22T14:27:00Z</dcterms:created>
  <dcterms:modified xsi:type="dcterms:W3CDTF">2023-12-14T09:06:00Z</dcterms:modified>
</cp:coreProperties>
</file>