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35CE" w14:textId="77777777" w:rsidR="00F856CC" w:rsidRPr="00F856CC" w:rsidRDefault="00F856CC" w:rsidP="00F856CC">
      <w:pPr>
        <w:ind w:left="-284"/>
        <w:jc w:val="both"/>
        <w:rPr>
          <w:rFonts w:cs="Calibri"/>
          <w:color w:val="000000"/>
          <w:sz w:val="22"/>
          <w:szCs w:val="22"/>
        </w:rPr>
      </w:pPr>
      <w:r w:rsidRPr="00F856CC">
        <w:rPr>
          <w:rFonts w:cs="Calibri"/>
          <w:color w:val="000000"/>
          <w:sz w:val="22"/>
          <w:szCs w:val="22"/>
        </w:rPr>
        <w:t>VOCE DI CAPITOLATO PER PAVIMENTAZIONE DECKING DA ESTERNO:</w:t>
      </w:r>
    </w:p>
    <w:p w14:paraId="67A0C89C" w14:textId="242C1CBE" w:rsidR="00B20588" w:rsidRDefault="00F856CC" w:rsidP="00F856CC">
      <w:pPr>
        <w:ind w:left="-284"/>
        <w:jc w:val="both"/>
        <w:rPr>
          <w:rFonts w:cs="Calibri"/>
          <w:color w:val="000000"/>
          <w:sz w:val="22"/>
          <w:szCs w:val="22"/>
        </w:rPr>
      </w:pPr>
      <w:r w:rsidRPr="00F856CC">
        <w:rPr>
          <w:rFonts w:cs="Calibri"/>
          <w:color w:val="000000"/>
          <w:sz w:val="22"/>
          <w:szCs w:val="22"/>
        </w:rPr>
        <w:t>GREENWOOD GREENDECK</w:t>
      </w:r>
    </w:p>
    <w:p w14:paraId="4B577712" w14:textId="77777777" w:rsidR="00F856CC" w:rsidRPr="00F856CC" w:rsidRDefault="00F856CC" w:rsidP="00F856CC">
      <w:pPr>
        <w:ind w:left="-284"/>
        <w:jc w:val="both"/>
        <w:rPr>
          <w:rFonts w:cstheme="minorHAnsi"/>
          <w:sz w:val="20"/>
          <w:szCs w:val="20"/>
        </w:rPr>
      </w:pPr>
    </w:p>
    <w:p w14:paraId="1B17733A"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b/>
          <w:sz w:val="20"/>
          <w:szCs w:val="20"/>
        </w:rPr>
        <w:t xml:space="preserve">Fornitura </w:t>
      </w:r>
      <w:r w:rsidRPr="007A7F78">
        <w:rPr>
          <w:rFonts w:cstheme="minorHAnsi"/>
          <w:sz w:val="20"/>
          <w:szCs w:val="20"/>
        </w:rPr>
        <w:t xml:space="preserve">di pavimentazione in legno composito GREENWOOD interamente prodotto in Italia ottenuto mediante estrusione “Greendeck" (dimensione tavola piena 161±1x22 mm e lunghezza standard 2000 mm o a misura senza sovrapprezzo, peso 3.9 kg/mt), composto da farina di legno di pino grezzo certificato FSC </w:t>
      </w:r>
      <w:r w:rsidRPr="007A7F78">
        <w:rPr>
          <w:rFonts w:cstheme="minorHAnsi"/>
          <w:color w:val="000000"/>
          <w:sz w:val="20"/>
          <w:szCs w:val="20"/>
        </w:rPr>
        <w:t xml:space="preserve">(marchio che identifica i prodotti contenenti legno proveniente da foreste gestite in maniera corretta e responsabile, secondo rigorosi standard ambientali, sociali ed economici, per prodotti in legno di faggio, pino e abete </w:t>
      </w:r>
      <w:r w:rsidRPr="007A7F78">
        <w:rPr>
          <w:rFonts w:cstheme="minorHAnsi"/>
          <w:sz w:val="20"/>
          <w:szCs w:val="20"/>
        </w:rPr>
        <w:t xml:space="preserve">rosso) - circa il 60%- e da una componente plastica poliolefinica ecologica (PP) con funzione protettiva ed impermeabilizzante, per ambiente esterno. </w:t>
      </w:r>
      <w:bookmarkStart w:id="0" w:name="_Hlk104467696"/>
      <w:r w:rsidRPr="007A7F78">
        <w:rPr>
          <w:rFonts w:cstheme="minorHAnsi"/>
          <w:sz w:val="20"/>
          <w:szCs w:val="20"/>
        </w:rPr>
        <w:t xml:space="preserve">Esente da fessurazioni, scheggiature e </w:t>
      </w:r>
      <w:proofErr w:type="spellStart"/>
      <w:r w:rsidRPr="007A7F78">
        <w:rPr>
          <w:rFonts w:cstheme="minorHAnsi"/>
          <w:sz w:val="20"/>
          <w:szCs w:val="20"/>
        </w:rPr>
        <w:t>dilaminazioni</w:t>
      </w:r>
      <w:proofErr w:type="spellEnd"/>
      <w:r w:rsidRPr="007A7F78">
        <w:rPr>
          <w:rFonts w:cstheme="minorHAnsi"/>
          <w:sz w:val="20"/>
          <w:szCs w:val="20"/>
        </w:rPr>
        <w:t xml:space="preserve"> anche dopo il taglio e la foratura. Al variare del tasso di umidità può subire dilatazioni e compressioni contenute e regolari (max. 3 mm/mt). Riciclabile al 100% post uso.</w:t>
      </w:r>
      <w:bookmarkEnd w:id="0"/>
    </w:p>
    <w:p w14:paraId="6DAC3DD3" w14:textId="77777777" w:rsidR="00F856CC" w:rsidRPr="007A7F78" w:rsidRDefault="00F856CC" w:rsidP="00F856CC">
      <w:pPr>
        <w:autoSpaceDE w:val="0"/>
        <w:autoSpaceDN w:val="0"/>
        <w:adjustRightInd w:val="0"/>
        <w:ind w:left="-284"/>
        <w:jc w:val="both"/>
        <w:rPr>
          <w:rFonts w:cstheme="minorHAnsi"/>
          <w:b/>
          <w:bCs/>
          <w:sz w:val="20"/>
          <w:szCs w:val="20"/>
        </w:rPr>
      </w:pPr>
    </w:p>
    <w:p w14:paraId="03CCCBFB"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b/>
          <w:bCs/>
          <w:sz w:val="20"/>
          <w:szCs w:val="20"/>
        </w:rPr>
        <w:t>Posizionamento LEED</w:t>
      </w:r>
      <w:r w:rsidRPr="007A7F78">
        <w:rPr>
          <w:rFonts w:cstheme="minorHAnsi"/>
          <w:sz w:val="20"/>
          <w:szCs w:val="20"/>
        </w:rPr>
        <w:t xml:space="preserve"> (codice IT02-19092402 – contribuisce a SSC4, SSC5, EAP2, EAC2, MRC3, MRC5) secondo protocolli di Localizzazione e Trasporti (LT), Siti sostenibili (SS), Gestione delle acque (WE), Energia e Atmosfera (EA), Materiali e risorse (MR), Qualità dell’aria interna (EQ).</w:t>
      </w:r>
    </w:p>
    <w:p w14:paraId="62BA0744" w14:textId="77777777" w:rsidR="00F856CC" w:rsidRPr="007A7F78" w:rsidRDefault="00F856CC" w:rsidP="00F856CC">
      <w:pPr>
        <w:autoSpaceDE w:val="0"/>
        <w:autoSpaceDN w:val="0"/>
        <w:adjustRightInd w:val="0"/>
        <w:ind w:left="-284"/>
        <w:jc w:val="both"/>
        <w:rPr>
          <w:rFonts w:cstheme="minorHAnsi"/>
          <w:b/>
          <w:bCs/>
          <w:sz w:val="20"/>
          <w:szCs w:val="20"/>
        </w:rPr>
      </w:pPr>
    </w:p>
    <w:p w14:paraId="15B5A68E"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b/>
          <w:bCs/>
          <w:sz w:val="20"/>
          <w:szCs w:val="20"/>
        </w:rPr>
        <w:t>Resistenza all'invecchiamento</w:t>
      </w:r>
      <w:r w:rsidRPr="007A7F78">
        <w:rPr>
          <w:rFonts w:cstheme="minorHAnsi"/>
          <w:sz w:val="20"/>
          <w:szCs w:val="20"/>
        </w:rPr>
        <w:t xml:space="preserve">, agli agenti atmosferici e alla macchiabilità, ai microorganismi marini, ai funghi (secondo ASTM G21:2009 Crescita funghi: nessuna) e agli insetti. </w:t>
      </w:r>
    </w:p>
    <w:p w14:paraId="74C349CF" w14:textId="2437FC0E"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b/>
          <w:bCs/>
          <w:sz w:val="20"/>
          <w:szCs w:val="20"/>
        </w:rPr>
        <w:t>Superficie antisdrucciolo</w:t>
      </w:r>
      <w:r w:rsidRPr="007A7F78">
        <w:rPr>
          <w:rFonts w:cstheme="minorHAnsi"/>
          <w:sz w:val="20"/>
          <w:szCs w:val="20"/>
        </w:rPr>
        <w:t xml:space="preserve"> </w:t>
      </w:r>
      <w:r w:rsidR="00D97A5D">
        <w:rPr>
          <w:rFonts w:cstheme="minorHAnsi"/>
          <w:sz w:val="20"/>
          <w:szCs w:val="20"/>
        </w:rPr>
        <w:t>resistenza della superficie allo scivolamento, coefficiente R11 (25.5°) secondo DIN 51130:2010-10, coefficiente</w:t>
      </w:r>
      <w:r w:rsidR="00D97A5D">
        <w:rPr>
          <w:rFonts w:cstheme="minorHAnsi"/>
          <w:sz w:val="20"/>
          <w:szCs w:val="20"/>
        </w:rPr>
        <w:t xml:space="preserve"> </w:t>
      </w:r>
      <w:r w:rsidRPr="007A7F78">
        <w:rPr>
          <w:rFonts w:cstheme="minorHAnsi"/>
          <w:sz w:val="20"/>
          <w:szCs w:val="20"/>
        </w:rPr>
        <w:t>USRV secondo UNI ENV 12633:2006 &gt; 52, coefficiente di attrito B.C.R.A. Rep. CEC. 6/81 &gt; 0.4).</w:t>
      </w:r>
    </w:p>
    <w:p w14:paraId="02F37B32"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b/>
          <w:bCs/>
          <w:sz w:val="20"/>
          <w:szCs w:val="20"/>
        </w:rPr>
        <w:t>Reazione al fuoco</w:t>
      </w:r>
      <w:r w:rsidRPr="007A7F78">
        <w:rPr>
          <w:rFonts w:cstheme="minorHAnsi"/>
          <w:sz w:val="20"/>
          <w:szCs w:val="20"/>
        </w:rPr>
        <w:t xml:space="preserve"> (flusso critico) secondo UNI EN 9239-1:2006 2,24 kW/ m</w:t>
      </w:r>
      <w:r w:rsidRPr="007A7F78">
        <w:rPr>
          <w:rFonts w:cstheme="minorHAnsi"/>
          <w:sz w:val="20"/>
          <w:szCs w:val="20"/>
          <w:vertAlign w:val="superscript"/>
        </w:rPr>
        <w:t>2</w:t>
      </w:r>
      <w:r w:rsidRPr="007A7F78">
        <w:rPr>
          <w:rFonts w:cstheme="minorHAnsi"/>
          <w:sz w:val="20"/>
          <w:szCs w:val="20"/>
        </w:rPr>
        <w:t xml:space="preserve">. </w:t>
      </w:r>
    </w:p>
    <w:p w14:paraId="51C9DD58"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 xml:space="preserve">Modulo elastico a flessione secondo UNI EN ISO 178:2003 3300 Mpa. </w:t>
      </w:r>
    </w:p>
    <w:p w14:paraId="483D4AF1"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 xml:space="preserve">Resistenza a flessione secondo UNI EN ISO 178:2003 25 Mpa. </w:t>
      </w:r>
    </w:p>
    <w:p w14:paraId="7270E573"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 xml:space="preserve">Modulo elastico a trazione secondo EN ISO 527:1996 3300 Mpa. </w:t>
      </w:r>
    </w:p>
    <w:p w14:paraId="701F6E2D"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 xml:space="preserve">Resistenza a trazione secondo EN ISO 527:1996 12 Mpa. </w:t>
      </w:r>
    </w:p>
    <w:p w14:paraId="00D2A8DE"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 xml:space="preserve">Allungamento a rottura secondo EN ISO 527:1996 0,78 %. </w:t>
      </w:r>
    </w:p>
    <w:p w14:paraId="2CA4EB25"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 xml:space="preserve">Resistenza all’urto </w:t>
      </w:r>
      <w:proofErr w:type="spellStart"/>
      <w:r w:rsidRPr="007A7F78">
        <w:rPr>
          <w:rFonts w:cstheme="minorHAnsi"/>
          <w:sz w:val="20"/>
          <w:szCs w:val="20"/>
        </w:rPr>
        <w:t>Charpy</w:t>
      </w:r>
      <w:proofErr w:type="spellEnd"/>
      <w:r w:rsidRPr="007A7F78">
        <w:rPr>
          <w:rFonts w:cstheme="minorHAnsi"/>
          <w:sz w:val="20"/>
          <w:szCs w:val="20"/>
        </w:rPr>
        <w:t xml:space="preserve"> secondo EN ISO 179-1:2007 5,65 KJ/m</w:t>
      </w:r>
      <w:r w:rsidRPr="007A7F78">
        <w:rPr>
          <w:rFonts w:cstheme="minorHAnsi"/>
          <w:sz w:val="20"/>
          <w:szCs w:val="20"/>
          <w:vertAlign w:val="superscript"/>
        </w:rPr>
        <w:t>2</w:t>
      </w:r>
      <w:r w:rsidRPr="007A7F78">
        <w:rPr>
          <w:rFonts w:cstheme="minorHAnsi"/>
          <w:sz w:val="20"/>
          <w:szCs w:val="20"/>
        </w:rPr>
        <w:t xml:space="preserve">. </w:t>
      </w:r>
    </w:p>
    <w:p w14:paraId="4DDDC182" w14:textId="77777777" w:rsidR="00F856CC" w:rsidRPr="007A7F78" w:rsidRDefault="00F856CC" w:rsidP="00F856CC">
      <w:pPr>
        <w:ind w:left="-284"/>
        <w:jc w:val="both"/>
        <w:rPr>
          <w:rFonts w:cstheme="minorHAnsi"/>
          <w:sz w:val="20"/>
          <w:szCs w:val="20"/>
        </w:rPr>
      </w:pPr>
    </w:p>
    <w:p w14:paraId="4F55801D" w14:textId="77777777" w:rsidR="00F856CC" w:rsidRPr="007A7F78" w:rsidRDefault="00F856CC" w:rsidP="00F856CC">
      <w:pPr>
        <w:ind w:left="-284"/>
        <w:jc w:val="both"/>
        <w:rPr>
          <w:rFonts w:cstheme="minorHAnsi"/>
          <w:b/>
          <w:bCs/>
          <w:sz w:val="20"/>
          <w:szCs w:val="20"/>
        </w:rPr>
      </w:pPr>
      <w:bookmarkStart w:id="1" w:name="_Hlk104467094"/>
      <w:r w:rsidRPr="007A7F78">
        <w:rPr>
          <w:rFonts w:cstheme="minorHAnsi"/>
          <w:b/>
          <w:bCs/>
          <w:sz w:val="20"/>
          <w:szCs w:val="20"/>
        </w:rPr>
        <w:t>Movimentazione, pulizia, manutenzione e stoccaggio</w:t>
      </w:r>
      <w:bookmarkEnd w:id="1"/>
    </w:p>
    <w:p w14:paraId="1E20BFA4" w14:textId="77777777" w:rsidR="00F856CC" w:rsidRPr="007A7F78" w:rsidRDefault="00F856CC" w:rsidP="00F856CC">
      <w:pPr>
        <w:autoSpaceDE w:val="0"/>
        <w:autoSpaceDN w:val="0"/>
        <w:adjustRightInd w:val="0"/>
        <w:ind w:left="-284"/>
        <w:jc w:val="both"/>
        <w:rPr>
          <w:rFonts w:cstheme="minorHAnsi"/>
          <w:sz w:val="20"/>
          <w:szCs w:val="20"/>
        </w:rPr>
      </w:pPr>
      <w:r w:rsidRPr="007A7F78">
        <w:rPr>
          <w:rFonts w:cstheme="minorHAnsi"/>
          <w:sz w:val="20"/>
          <w:szCs w:val="20"/>
        </w:rPr>
        <w:t>NON vengono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Greenwood richiede una manutenzione minima, è consigliabile pulire il materiale al termine dell’installazione ed effettuare periodicamente un’ordinaria di pulizia. Lo sporco può essere facilmente rimosso con acqua ad alta pressione (evitando pressioni superiori agli 80 bar) seguendo la direzione delle scanalature dei profili ed utilizzando un ugello piatto e largo.</w:t>
      </w:r>
    </w:p>
    <w:p w14:paraId="6964A7A7" w14:textId="77777777" w:rsidR="00F856CC" w:rsidRPr="007A7F78" w:rsidRDefault="00F856CC" w:rsidP="00F856CC">
      <w:pPr>
        <w:ind w:left="-284"/>
        <w:jc w:val="both"/>
        <w:rPr>
          <w:rFonts w:cstheme="minorHAnsi"/>
          <w:sz w:val="20"/>
          <w:szCs w:val="20"/>
        </w:rPr>
      </w:pPr>
    </w:p>
    <w:p w14:paraId="5580B0E5" w14:textId="77777777" w:rsidR="00F856CC" w:rsidRDefault="00F856CC" w:rsidP="00F856CC">
      <w:pPr>
        <w:ind w:left="-284"/>
        <w:jc w:val="both"/>
        <w:rPr>
          <w:rFonts w:cstheme="minorHAnsi"/>
          <w:sz w:val="20"/>
          <w:szCs w:val="20"/>
        </w:rPr>
      </w:pPr>
      <w:r w:rsidRPr="007A7F78">
        <w:rPr>
          <w:rFonts w:cstheme="minorHAnsi"/>
          <w:b/>
          <w:sz w:val="20"/>
          <w:szCs w:val="20"/>
        </w:rPr>
        <w:t xml:space="preserve">Posa </w:t>
      </w:r>
      <w:r w:rsidRPr="007A7F78">
        <w:rPr>
          <w:rFonts w:cstheme="minorHAnsi"/>
          <w:sz w:val="20"/>
          <w:szCs w:val="20"/>
        </w:rPr>
        <w:t>di pavimentazione in legno composito "GREENWOOD”, come da prescrizioni del produttore su sottostruttura in longheroni di alluminio, posti ad interasse massimo di 500 mm su fondo stabile, per una portata massima complessiva di 600 kg/mq (per GREENDECK). La fornitura deve essere composta da un kit completo di: tavole a sezione piena; longheroni di supporto in alluminio</w:t>
      </w:r>
      <w:r w:rsidRPr="00C12539">
        <w:rPr>
          <w:rFonts w:cstheme="minorHAnsi"/>
          <w:sz w:val="20"/>
          <w:szCs w:val="20"/>
        </w:rPr>
        <w:t xml:space="preserve"> di dimensioni standard </w:t>
      </w:r>
      <w:r>
        <w:rPr>
          <w:rFonts w:cstheme="minorHAnsi"/>
          <w:sz w:val="20"/>
          <w:szCs w:val="20"/>
        </w:rPr>
        <w:t xml:space="preserve">di varie dimensioni ad esempio </w:t>
      </w:r>
      <w:r w:rsidRPr="00C12539">
        <w:rPr>
          <w:rFonts w:cstheme="minorHAnsi"/>
          <w:sz w:val="20"/>
          <w:szCs w:val="20"/>
        </w:rPr>
        <w:t xml:space="preserve">55x20 </w:t>
      </w:r>
      <w:r>
        <w:rPr>
          <w:rFonts w:cstheme="minorHAnsi"/>
          <w:sz w:val="20"/>
          <w:szCs w:val="20"/>
        </w:rPr>
        <w:t xml:space="preserve">o 40x30 </w:t>
      </w:r>
      <w:r w:rsidRPr="00C12539">
        <w:rPr>
          <w:rFonts w:cstheme="minorHAnsi"/>
          <w:sz w:val="20"/>
          <w:szCs w:val="20"/>
        </w:rPr>
        <w:t>mm; clip di aggancio in acciaio INOX AISI 304; vi</w:t>
      </w:r>
      <w:r>
        <w:rPr>
          <w:rFonts w:cstheme="minorHAnsi"/>
          <w:sz w:val="20"/>
          <w:szCs w:val="20"/>
        </w:rPr>
        <w:t>t</w:t>
      </w:r>
      <w:r w:rsidRPr="00C12539">
        <w:rPr>
          <w:rFonts w:cstheme="minorHAnsi"/>
          <w:sz w:val="20"/>
          <w:szCs w:val="20"/>
        </w:rPr>
        <w:t xml:space="preserve">i </w:t>
      </w:r>
      <w:proofErr w:type="spellStart"/>
      <w:r w:rsidRPr="00C12539">
        <w:rPr>
          <w:rFonts w:cstheme="minorHAnsi"/>
          <w:sz w:val="20"/>
          <w:szCs w:val="20"/>
        </w:rPr>
        <w:t>autoforanti</w:t>
      </w:r>
      <w:proofErr w:type="spellEnd"/>
      <w:r w:rsidRPr="00C12539">
        <w:rPr>
          <w:rFonts w:cstheme="minorHAnsi"/>
          <w:sz w:val="20"/>
          <w:szCs w:val="20"/>
        </w:rPr>
        <w:t xml:space="preserve"> in acciaio INOX A2. </w:t>
      </w:r>
      <w:r>
        <w:rPr>
          <w:rFonts w:cstheme="minorHAnsi"/>
          <w:sz w:val="20"/>
          <w:szCs w:val="20"/>
        </w:rPr>
        <w:t>T</w:t>
      </w:r>
      <w:r w:rsidRPr="00C12539">
        <w:rPr>
          <w:rFonts w:cstheme="minorHAnsi"/>
          <w:sz w:val="20"/>
          <w:szCs w:val="20"/>
        </w:rPr>
        <w:t>aglio del materiale secondo lo schema di posa di progetto ed eventuali aggiustamenti in base alla situazione in loco.</w:t>
      </w:r>
      <w:r>
        <w:rPr>
          <w:rFonts w:cstheme="minorHAnsi"/>
          <w:sz w:val="20"/>
          <w:szCs w:val="20"/>
        </w:rPr>
        <w:t xml:space="preserve"> F</w:t>
      </w:r>
      <w:r w:rsidRPr="00C12539">
        <w:rPr>
          <w:rFonts w:cstheme="minorHAnsi"/>
          <w:sz w:val="20"/>
          <w:szCs w:val="20"/>
        </w:rPr>
        <w:t xml:space="preserve">issaggio dei longheroni al sottofondo tramite adeguati fissaggi con tasselli e viteria. Ove non fosse possibile il fissaggio della sottostruttura al sottofondo, è necessario realizzare una doppia orditura di supporto. La posa della sottostruttura deve essere eseguita in modo da permettere lo scolo delle acque. Devono inoltre essere rispettate le distanze tra gli elementi in modo da favorire l’aerazione del materiale e permettere le dilatazioni termiche. Il fissaggio delle doghe va eseguito su ogni appoggio per mezzo delle apposite clips. Ogni tavola della pavimentazione deve appoggiare almeno su tre punti. Nel caso di fissaggio con le viti deve essere eseguita la </w:t>
      </w:r>
      <w:proofErr w:type="spellStart"/>
      <w:r w:rsidRPr="00C12539">
        <w:rPr>
          <w:rFonts w:cstheme="minorHAnsi"/>
          <w:sz w:val="20"/>
          <w:szCs w:val="20"/>
        </w:rPr>
        <w:t>preforatura</w:t>
      </w:r>
      <w:proofErr w:type="spellEnd"/>
      <w:r w:rsidRPr="00C12539">
        <w:rPr>
          <w:rFonts w:cstheme="minorHAnsi"/>
          <w:sz w:val="20"/>
          <w:szCs w:val="20"/>
        </w:rPr>
        <w:t xml:space="preserve"> della tavola. Eventuali condizioni particolari di installazione sono da valutarsi con i</w:t>
      </w:r>
      <w:r>
        <w:rPr>
          <w:rFonts w:cstheme="minorHAnsi"/>
          <w:sz w:val="20"/>
          <w:szCs w:val="20"/>
        </w:rPr>
        <w:t>l</w:t>
      </w:r>
      <w:r w:rsidRPr="00C12539">
        <w:rPr>
          <w:rFonts w:cstheme="minorHAnsi"/>
          <w:sz w:val="20"/>
          <w:szCs w:val="20"/>
        </w:rPr>
        <w:t xml:space="preserve"> fornitor</w:t>
      </w:r>
      <w:r>
        <w:rPr>
          <w:rFonts w:cstheme="minorHAnsi"/>
          <w:sz w:val="20"/>
          <w:szCs w:val="20"/>
        </w:rPr>
        <w:t>e</w:t>
      </w:r>
      <w:r w:rsidRPr="00C12539">
        <w:rPr>
          <w:rFonts w:cstheme="minorHAnsi"/>
          <w:sz w:val="20"/>
          <w:szCs w:val="20"/>
        </w:rPr>
        <w:t xml:space="preserve"> del prodotto. Colore da definire con la D.L.</w:t>
      </w:r>
      <w:r>
        <w:rPr>
          <w:rFonts w:cstheme="minorHAnsi"/>
          <w:sz w:val="20"/>
          <w:szCs w:val="20"/>
        </w:rPr>
        <w:t xml:space="preserve"> </w:t>
      </w:r>
    </w:p>
    <w:p w14:paraId="71FF7762" w14:textId="77777777" w:rsidR="00F856CC" w:rsidRDefault="00F856CC" w:rsidP="00F856CC">
      <w:pPr>
        <w:ind w:left="-284"/>
        <w:rPr>
          <w:rFonts w:cstheme="minorHAnsi"/>
          <w:color w:val="202124"/>
          <w:sz w:val="20"/>
          <w:szCs w:val="20"/>
          <w:shd w:val="clear" w:color="auto" w:fill="FFFFFF"/>
        </w:rPr>
      </w:pPr>
      <w:r w:rsidRPr="00C12539">
        <w:rPr>
          <w:rFonts w:cstheme="minorHAnsi"/>
          <w:sz w:val="20"/>
          <w:szCs w:val="20"/>
        </w:rPr>
        <w:lastRenderedPageBreak/>
        <w:t xml:space="preserve">Indice di riflettanza solare, SRI secondo </w:t>
      </w:r>
      <w:r w:rsidRPr="00C12539">
        <w:rPr>
          <w:rFonts w:cstheme="minorHAnsi"/>
          <w:color w:val="202124"/>
          <w:sz w:val="20"/>
          <w:szCs w:val="20"/>
          <w:shd w:val="clear" w:color="auto" w:fill="FFFFFF"/>
        </w:rPr>
        <w:t xml:space="preserve">ASTM E1980 </w:t>
      </w:r>
      <w:r>
        <w:rPr>
          <w:rFonts w:cstheme="minorHAnsi"/>
          <w:color w:val="202124"/>
          <w:sz w:val="20"/>
          <w:szCs w:val="20"/>
          <w:shd w:val="clear" w:color="auto" w:fill="FFFFFF"/>
        </w:rPr>
        <w:t>-11(2019)</w:t>
      </w:r>
    </w:p>
    <w:p w14:paraId="757FC367" w14:textId="77777777" w:rsidR="00F856CC" w:rsidRPr="00C12539" w:rsidRDefault="00F856CC" w:rsidP="00F856CC">
      <w:pPr>
        <w:ind w:left="-284"/>
        <w:rPr>
          <w:rFonts w:cstheme="minorHAnsi"/>
          <w:sz w:val="20"/>
          <w:szCs w:val="20"/>
        </w:rPr>
      </w:pPr>
    </w:p>
    <w:p w14:paraId="7093DA51" w14:textId="77777777" w:rsidR="00F856CC" w:rsidRPr="00F856CC" w:rsidRDefault="00F856CC" w:rsidP="00F856CC">
      <w:pPr>
        <w:ind w:left="-284"/>
        <w:rPr>
          <w:rFonts w:cstheme="minorHAnsi"/>
          <w:color w:val="000000"/>
          <w:sz w:val="20"/>
          <w:szCs w:val="20"/>
        </w:rPr>
      </w:pPr>
      <w:r w:rsidRPr="00F856CC">
        <w:rPr>
          <w:rFonts w:cstheme="minorHAnsi"/>
          <w:color w:val="000000"/>
          <w:sz w:val="20"/>
          <w:szCs w:val="20"/>
        </w:rPr>
        <w:t xml:space="preserve">BIANCO LOFT: </w:t>
      </w:r>
    </w:p>
    <w:p w14:paraId="732B4F08" w14:textId="77777777" w:rsidR="00F856CC" w:rsidRPr="00F856CC" w:rsidRDefault="00F856CC" w:rsidP="00F856CC">
      <w:pPr>
        <w:ind w:left="-284"/>
        <w:rPr>
          <w:rFonts w:cstheme="minorHAnsi"/>
          <w:color w:val="000000"/>
          <w:sz w:val="20"/>
          <w:szCs w:val="20"/>
        </w:rPr>
      </w:pPr>
      <w:r w:rsidRPr="00F856CC">
        <w:rPr>
          <w:rFonts w:cstheme="minorHAnsi"/>
          <w:color w:val="000000"/>
          <w:sz w:val="20"/>
          <w:szCs w:val="20"/>
        </w:rPr>
        <w:t>74 (</w:t>
      </w:r>
      <w:proofErr w:type="spellStart"/>
      <w:r w:rsidRPr="00F856CC">
        <w:rPr>
          <w:rFonts w:cstheme="minorHAnsi"/>
          <w:color w:val="000000"/>
          <w:sz w:val="20"/>
          <w:szCs w:val="20"/>
        </w:rPr>
        <w:t>h</w:t>
      </w:r>
      <w:r w:rsidRPr="00F856CC">
        <w:rPr>
          <w:rFonts w:cstheme="minorHAnsi"/>
          <w:color w:val="000000"/>
          <w:sz w:val="20"/>
          <w:szCs w:val="20"/>
          <w:vertAlign w:val="subscript"/>
        </w:rPr>
        <w:t>c</w:t>
      </w:r>
      <w:proofErr w:type="spellEnd"/>
      <w:r w:rsidRPr="00F856CC">
        <w:rPr>
          <w:rFonts w:cstheme="minorHAnsi"/>
          <w:color w:val="000000"/>
          <w:sz w:val="20"/>
          <w:szCs w:val="20"/>
        </w:rPr>
        <w:t xml:space="preserve"> = 5 W/(m</w:t>
      </w:r>
      <w:r w:rsidRPr="00F856CC">
        <w:rPr>
          <w:rFonts w:cstheme="minorHAnsi"/>
          <w:color w:val="000000"/>
          <w:sz w:val="20"/>
          <w:szCs w:val="20"/>
          <w:vertAlign w:val="superscript"/>
        </w:rPr>
        <w:t>2</w:t>
      </w:r>
      <w:r w:rsidRPr="00F856CC">
        <w:rPr>
          <w:rFonts w:cstheme="minorHAnsi"/>
          <w:color w:val="000000"/>
          <w:sz w:val="20"/>
          <w:szCs w:val="20"/>
        </w:rPr>
        <w:t>·K)</w:t>
      </w:r>
      <w:r w:rsidRPr="00F856CC">
        <w:rPr>
          <w:rFonts w:cstheme="minorHAnsi"/>
          <w:color w:val="000000"/>
          <w:sz w:val="20"/>
          <w:szCs w:val="20"/>
        </w:rPr>
        <w:br/>
        <w:t>74,4 (</w:t>
      </w:r>
      <w:proofErr w:type="spellStart"/>
      <w:r w:rsidRPr="00F856CC">
        <w:rPr>
          <w:rFonts w:cstheme="minorHAnsi"/>
          <w:color w:val="000000"/>
          <w:sz w:val="20"/>
          <w:szCs w:val="20"/>
        </w:rPr>
        <w:t>h</w:t>
      </w:r>
      <w:r w:rsidRPr="00F856CC">
        <w:rPr>
          <w:rFonts w:cstheme="minorHAnsi"/>
          <w:color w:val="000000"/>
          <w:sz w:val="20"/>
          <w:szCs w:val="20"/>
          <w:vertAlign w:val="subscript"/>
        </w:rPr>
        <w:t>c</w:t>
      </w:r>
      <w:proofErr w:type="spellEnd"/>
      <w:r w:rsidRPr="00F856CC">
        <w:rPr>
          <w:rFonts w:cstheme="minorHAnsi"/>
          <w:color w:val="000000"/>
          <w:sz w:val="20"/>
          <w:szCs w:val="20"/>
        </w:rPr>
        <w:t xml:space="preserve"> = 12 W/(m</w:t>
      </w:r>
      <w:r w:rsidRPr="00F856CC">
        <w:rPr>
          <w:rFonts w:cstheme="minorHAnsi"/>
          <w:color w:val="000000"/>
          <w:sz w:val="20"/>
          <w:szCs w:val="20"/>
          <w:vertAlign w:val="superscript"/>
        </w:rPr>
        <w:t>2</w:t>
      </w:r>
      <w:r w:rsidRPr="00F856CC">
        <w:rPr>
          <w:rFonts w:cstheme="minorHAnsi"/>
          <w:color w:val="000000"/>
          <w:sz w:val="20"/>
          <w:szCs w:val="20"/>
        </w:rPr>
        <w:t>·K)</w:t>
      </w:r>
      <w:r w:rsidRPr="00F856CC">
        <w:rPr>
          <w:rFonts w:cstheme="minorHAnsi"/>
          <w:color w:val="000000"/>
          <w:sz w:val="20"/>
          <w:szCs w:val="20"/>
        </w:rPr>
        <w:br/>
        <w:t>74,6 (</w:t>
      </w:r>
      <w:proofErr w:type="spellStart"/>
      <w:r w:rsidRPr="00F856CC">
        <w:rPr>
          <w:rFonts w:cstheme="minorHAnsi"/>
          <w:color w:val="000000"/>
          <w:sz w:val="20"/>
          <w:szCs w:val="20"/>
        </w:rPr>
        <w:t>h</w:t>
      </w:r>
      <w:r w:rsidRPr="00F856CC">
        <w:rPr>
          <w:rFonts w:cstheme="minorHAnsi"/>
          <w:color w:val="000000"/>
          <w:sz w:val="20"/>
          <w:szCs w:val="20"/>
          <w:vertAlign w:val="subscript"/>
        </w:rPr>
        <w:t>c</w:t>
      </w:r>
      <w:proofErr w:type="spellEnd"/>
      <w:r w:rsidRPr="00F856CC">
        <w:rPr>
          <w:rFonts w:cstheme="minorHAnsi"/>
          <w:color w:val="000000"/>
          <w:sz w:val="20"/>
          <w:szCs w:val="20"/>
        </w:rPr>
        <w:t xml:space="preserve"> = 30 W/(m</w:t>
      </w:r>
      <w:r w:rsidRPr="00F856CC">
        <w:rPr>
          <w:rFonts w:cstheme="minorHAnsi"/>
          <w:color w:val="000000"/>
          <w:sz w:val="20"/>
          <w:szCs w:val="20"/>
          <w:vertAlign w:val="superscript"/>
        </w:rPr>
        <w:t>2</w:t>
      </w:r>
      <w:r w:rsidRPr="00F856CC">
        <w:rPr>
          <w:rFonts w:cstheme="minorHAnsi"/>
          <w:color w:val="000000"/>
          <w:sz w:val="20"/>
          <w:szCs w:val="20"/>
        </w:rPr>
        <w:t>·K)</w:t>
      </w:r>
    </w:p>
    <w:p w14:paraId="5F83DE9D" w14:textId="77777777" w:rsidR="00F856CC" w:rsidRPr="004261FE" w:rsidRDefault="00F856CC" w:rsidP="00F856CC">
      <w:pPr>
        <w:ind w:left="-284"/>
        <w:rPr>
          <w:rFonts w:cstheme="minorHAnsi"/>
          <w:color w:val="000000"/>
          <w:sz w:val="20"/>
          <w:szCs w:val="20"/>
          <w:lang w:val="en-US"/>
        </w:rPr>
      </w:pPr>
      <w:r w:rsidRPr="004261FE">
        <w:rPr>
          <w:rFonts w:cstheme="minorHAnsi"/>
          <w:color w:val="000000"/>
          <w:sz w:val="20"/>
          <w:szCs w:val="20"/>
          <w:lang w:val="en-US"/>
        </w:rPr>
        <w:t>MIELE LOFT:</w:t>
      </w:r>
    </w:p>
    <w:p w14:paraId="61001ED9" w14:textId="77777777" w:rsidR="00F856CC" w:rsidRPr="005D0C40" w:rsidRDefault="00F856CC" w:rsidP="00F856CC">
      <w:pPr>
        <w:ind w:left="-284"/>
        <w:rPr>
          <w:rFonts w:cstheme="minorHAnsi"/>
          <w:color w:val="000000"/>
          <w:sz w:val="20"/>
          <w:szCs w:val="20"/>
          <w:lang w:val="en-US"/>
        </w:rPr>
      </w:pPr>
      <w:r w:rsidRPr="005D0C40">
        <w:rPr>
          <w:rFonts w:cstheme="minorHAnsi"/>
          <w:color w:val="000000"/>
          <w:sz w:val="20"/>
          <w:szCs w:val="20"/>
          <w:lang w:val="en-US"/>
        </w:rPr>
        <w:t>32,6 (</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5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5D0C40">
        <w:rPr>
          <w:rFonts w:cstheme="minorHAnsi"/>
          <w:color w:val="000000"/>
          <w:sz w:val="20"/>
          <w:szCs w:val="20"/>
          <w:lang w:val="en-US"/>
        </w:rPr>
        <w:br/>
        <w:t>32,4 (</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12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5D0C40">
        <w:rPr>
          <w:rFonts w:cstheme="minorHAnsi"/>
          <w:color w:val="000000"/>
          <w:sz w:val="20"/>
          <w:szCs w:val="20"/>
          <w:lang w:val="en-US"/>
        </w:rPr>
        <w:br/>
        <w:t>32,1 (</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w:t>
      </w:r>
      <w:r>
        <w:rPr>
          <w:rFonts w:cstheme="minorHAnsi"/>
          <w:color w:val="000000"/>
          <w:sz w:val="20"/>
          <w:szCs w:val="20"/>
          <w:lang w:val="en-US"/>
        </w:rPr>
        <w:t>30</w:t>
      </w:r>
      <w:r w:rsidRPr="005D0C40">
        <w:rPr>
          <w:rFonts w:cstheme="minorHAnsi"/>
          <w:color w:val="000000"/>
          <w:sz w:val="20"/>
          <w:szCs w:val="20"/>
          <w:lang w:val="en-US"/>
        </w:rPr>
        <w:t xml:space="preserve">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p>
    <w:p w14:paraId="5CAC67A9" w14:textId="77777777" w:rsidR="00F856CC" w:rsidRPr="007610F4" w:rsidRDefault="00F856CC" w:rsidP="00F856CC">
      <w:pPr>
        <w:ind w:left="-284"/>
        <w:rPr>
          <w:rFonts w:cstheme="minorHAnsi"/>
          <w:color w:val="000000"/>
          <w:sz w:val="20"/>
          <w:szCs w:val="20"/>
          <w:lang w:val="en-US"/>
        </w:rPr>
      </w:pPr>
      <w:r w:rsidRPr="007610F4">
        <w:rPr>
          <w:rFonts w:cstheme="minorHAnsi"/>
          <w:color w:val="000000"/>
          <w:sz w:val="20"/>
          <w:szCs w:val="20"/>
          <w:lang w:val="en-US"/>
        </w:rPr>
        <w:t>MIELE SOLARIUM:</w:t>
      </w:r>
    </w:p>
    <w:p w14:paraId="5D11AFC2" w14:textId="77777777" w:rsidR="00F856CC" w:rsidRPr="007610F4" w:rsidRDefault="00F856CC" w:rsidP="00F856CC">
      <w:pPr>
        <w:ind w:left="-284"/>
        <w:rPr>
          <w:rFonts w:cstheme="minorHAnsi"/>
          <w:color w:val="000000"/>
          <w:sz w:val="20"/>
          <w:szCs w:val="20"/>
          <w:lang w:val="en-US"/>
        </w:rPr>
      </w:pPr>
      <w:r w:rsidRPr="007610F4">
        <w:rPr>
          <w:rFonts w:cstheme="minorHAnsi"/>
          <w:color w:val="000000"/>
          <w:sz w:val="20"/>
          <w:szCs w:val="20"/>
          <w:lang w:val="en-US"/>
        </w:rPr>
        <w:t xml:space="preserve">16,4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5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15,7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12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14,9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w:t>
      </w:r>
      <w:r>
        <w:rPr>
          <w:rFonts w:cstheme="minorHAnsi"/>
          <w:color w:val="000000"/>
          <w:sz w:val="20"/>
          <w:szCs w:val="20"/>
          <w:lang w:val="en-US"/>
        </w:rPr>
        <w:t>30</w:t>
      </w:r>
      <w:r w:rsidRPr="005D0C40">
        <w:rPr>
          <w:rFonts w:cstheme="minorHAnsi"/>
          <w:color w:val="000000"/>
          <w:sz w:val="20"/>
          <w:szCs w:val="20"/>
          <w:lang w:val="en-US"/>
        </w:rPr>
        <w:t xml:space="preserve">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p>
    <w:p w14:paraId="0A909EDD" w14:textId="77777777" w:rsidR="00F856CC" w:rsidRPr="007610F4" w:rsidRDefault="00F856CC" w:rsidP="00F856CC">
      <w:pPr>
        <w:ind w:left="-284"/>
        <w:rPr>
          <w:rFonts w:cstheme="minorHAnsi"/>
          <w:color w:val="000000"/>
          <w:sz w:val="20"/>
          <w:szCs w:val="20"/>
          <w:lang w:val="en-US"/>
        </w:rPr>
      </w:pPr>
      <w:r w:rsidRPr="007610F4">
        <w:rPr>
          <w:rFonts w:cstheme="minorHAnsi"/>
          <w:color w:val="000000"/>
          <w:sz w:val="20"/>
          <w:szCs w:val="20"/>
          <w:lang w:val="en-US"/>
        </w:rPr>
        <w:t>TAUPE LOFT:</w:t>
      </w:r>
    </w:p>
    <w:p w14:paraId="692B41A6" w14:textId="77777777" w:rsidR="00F856CC" w:rsidRPr="007610F4" w:rsidRDefault="00F856CC" w:rsidP="00F856CC">
      <w:pPr>
        <w:ind w:left="-284"/>
        <w:rPr>
          <w:rFonts w:cstheme="minorHAnsi"/>
          <w:color w:val="000000"/>
          <w:sz w:val="20"/>
          <w:szCs w:val="20"/>
          <w:lang w:val="en-US"/>
        </w:rPr>
      </w:pPr>
      <w:r w:rsidRPr="007610F4">
        <w:rPr>
          <w:rFonts w:cstheme="minorHAnsi"/>
          <w:color w:val="000000"/>
          <w:sz w:val="20"/>
          <w:szCs w:val="20"/>
          <w:lang w:val="en-US"/>
        </w:rPr>
        <w:t xml:space="preserve">35,9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5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36,5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12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r w:rsidRPr="007610F4">
        <w:rPr>
          <w:rFonts w:cstheme="minorHAnsi"/>
          <w:color w:val="000000"/>
          <w:sz w:val="20"/>
          <w:szCs w:val="20"/>
          <w:lang w:val="en-US"/>
        </w:rPr>
        <w:br/>
        <w:t xml:space="preserve">36,7 </w:t>
      </w:r>
      <w:r w:rsidRPr="005D0C40">
        <w:rPr>
          <w:rFonts w:cstheme="minorHAnsi"/>
          <w:color w:val="000000"/>
          <w:sz w:val="20"/>
          <w:szCs w:val="20"/>
          <w:lang w:val="en-US"/>
        </w:rPr>
        <w:t>(</w:t>
      </w:r>
      <w:proofErr w:type="spellStart"/>
      <w:r w:rsidRPr="005D0C40">
        <w:rPr>
          <w:rFonts w:cstheme="minorHAnsi"/>
          <w:color w:val="000000"/>
          <w:sz w:val="20"/>
          <w:szCs w:val="20"/>
          <w:lang w:val="en-US"/>
        </w:rPr>
        <w:t>h</w:t>
      </w:r>
      <w:r w:rsidRPr="005D0C40">
        <w:rPr>
          <w:rFonts w:cstheme="minorHAnsi"/>
          <w:color w:val="000000"/>
          <w:sz w:val="20"/>
          <w:szCs w:val="20"/>
          <w:vertAlign w:val="subscript"/>
          <w:lang w:val="en-US"/>
        </w:rPr>
        <w:t>c</w:t>
      </w:r>
      <w:proofErr w:type="spellEnd"/>
      <w:r w:rsidRPr="005D0C40">
        <w:rPr>
          <w:rFonts w:cstheme="minorHAnsi"/>
          <w:color w:val="000000"/>
          <w:sz w:val="20"/>
          <w:szCs w:val="20"/>
          <w:lang w:val="en-US"/>
        </w:rPr>
        <w:t xml:space="preserve"> = </w:t>
      </w:r>
      <w:r>
        <w:rPr>
          <w:rFonts w:cstheme="minorHAnsi"/>
          <w:color w:val="000000"/>
          <w:sz w:val="20"/>
          <w:szCs w:val="20"/>
          <w:lang w:val="en-US"/>
        </w:rPr>
        <w:t>30</w:t>
      </w:r>
      <w:r w:rsidRPr="005D0C40">
        <w:rPr>
          <w:rFonts w:cstheme="minorHAnsi"/>
          <w:color w:val="000000"/>
          <w:sz w:val="20"/>
          <w:szCs w:val="20"/>
          <w:lang w:val="en-US"/>
        </w:rPr>
        <w:t xml:space="preserve"> W/(m</w:t>
      </w:r>
      <w:r w:rsidRPr="005D0C40">
        <w:rPr>
          <w:rFonts w:cstheme="minorHAnsi"/>
          <w:color w:val="000000"/>
          <w:sz w:val="20"/>
          <w:szCs w:val="20"/>
          <w:vertAlign w:val="superscript"/>
          <w:lang w:val="en-US"/>
        </w:rPr>
        <w:t>2</w:t>
      </w:r>
      <w:r w:rsidRPr="005D0C40">
        <w:rPr>
          <w:rFonts w:cstheme="minorHAnsi"/>
          <w:color w:val="000000"/>
          <w:sz w:val="20"/>
          <w:szCs w:val="20"/>
          <w:lang w:val="en-US"/>
        </w:rPr>
        <w:t>·K)</w:t>
      </w:r>
    </w:p>
    <w:p w14:paraId="3B827471" w14:textId="77777777" w:rsidR="00F856CC" w:rsidRPr="007610F4" w:rsidRDefault="00F856CC" w:rsidP="00F856CC">
      <w:pPr>
        <w:ind w:left="-284"/>
        <w:rPr>
          <w:rFonts w:ascii="Calibri" w:hAnsi="Calibri" w:cs="Calibri"/>
          <w:color w:val="000000"/>
          <w:sz w:val="22"/>
          <w:szCs w:val="22"/>
          <w:lang w:val="en-US"/>
        </w:rPr>
      </w:pPr>
    </w:p>
    <w:p w14:paraId="16B9E58D" w14:textId="77777777" w:rsidR="00F856CC" w:rsidRPr="008233D8" w:rsidRDefault="00F856CC" w:rsidP="00F856CC">
      <w:pPr>
        <w:ind w:left="-284"/>
        <w:rPr>
          <w:rFonts w:ascii="Calibri" w:hAnsi="Calibri" w:cs="Calibri"/>
          <w:color w:val="000000"/>
          <w:sz w:val="22"/>
          <w:szCs w:val="22"/>
        </w:rPr>
      </w:pPr>
      <w:r>
        <w:rPr>
          <w:rFonts w:cstheme="minorHAnsi"/>
          <w:sz w:val="20"/>
          <w:szCs w:val="20"/>
        </w:rPr>
        <w:t xml:space="preserve">Ulteriori informazioni tecniche su </w:t>
      </w:r>
      <w:hyperlink r:id="rId8" w:history="1">
        <w:r w:rsidRPr="000F13BD">
          <w:rPr>
            <w:rStyle w:val="Collegamentoipertestuale"/>
            <w:rFonts w:cstheme="minorHAnsi"/>
            <w:sz w:val="20"/>
            <w:szCs w:val="20"/>
          </w:rPr>
          <w:t>www.woodn.com</w:t>
        </w:r>
      </w:hyperlink>
      <w:r>
        <w:rPr>
          <w:rFonts w:cstheme="minorHAnsi"/>
          <w:sz w:val="20"/>
          <w:szCs w:val="20"/>
        </w:rPr>
        <w:t xml:space="preserve"> o alla mail </w:t>
      </w:r>
      <w:hyperlink r:id="rId9" w:history="1">
        <w:r w:rsidRPr="000F13BD">
          <w:rPr>
            <w:rStyle w:val="Collegamentoipertestuale"/>
            <w:rFonts w:cstheme="minorHAnsi"/>
            <w:sz w:val="20"/>
            <w:szCs w:val="20"/>
          </w:rPr>
          <w:t>ufficiotecnico@woodn.com</w:t>
        </w:r>
      </w:hyperlink>
    </w:p>
    <w:p w14:paraId="082BFD7D" w14:textId="77777777" w:rsidR="00B20588" w:rsidRPr="00F856CC" w:rsidRDefault="00B20588" w:rsidP="00B20588">
      <w:pPr>
        <w:ind w:left="-426"/>
        <w:jc w:val="both"/>
        <w:rPr>
          <w:sz w:val="20"/>
          <w:szCs w:val="20"/>
        </w:rPr>
      </w:pPr>
    </w:p>
    <w:sectPr w:rsidR="00B20588" w:rsidRPr="00F856CC" w:rsidSect="00B20588">
      <w:headerReference w:type="default" r:id="rId10"/>
      <w:footerReference w:type="default" r:id="rId11"/>
      <w:pgSz w:w="11906" w:h="16838" w:code="9"/>
      <w:pgMar w:top="1418" w:right="1134" w:bottom="147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046A" w14:textId="77777777" w:rsidR="00BE6DF0" w:rsidRDefault="00BE6DF0" w:rsidP="001E3B2D">
      <w:r>
        <w:separator/>
      </w:r>
    </w:p>
  </w:endnote>
  <w:endnote w:type="continuationSeparator" w:id="0">
    <w:p w14:paraId="0DA874B8" w14:textId="77777777" w:rsidR="00BE6DF0" w:rsidRDefault="00BE6DF0" w:rsidP="001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5731" w14:textId="1FF99DF2" w:rsidR="001E3B2D" w:rsidRDefault="00F254BE">
    <w:pPr>
      <w:pStyle w:val="Pidipagina"/>
    </w:pPr>
    <w:r>
      <w:rPr>
        <w:noProof/>
        <w:lang w:eastAsia="it-IT"/>
      </w:rPr>
      <w:drawing>
        <wp:anchor distT="0" distB="0" distL="114300" distR="114300" simplePos="0" relativeHeight="251659264" behindDoc="0" locked="0" layoutInCell="1" allowOverlap="1" wp14:anchorId="462D0CD4" wp14:editId="788EA9BA">
          <wp:simplePos x="0" y="0"/>
          <wp:positionH relativeFrom="column">
            <wp:posOffset>-812165</wp:posOffset>
          </wp:positionH>
          <wp:positionV relativeFrom="paragraph">
            <wp:posOffset>-538115</wp:posOffset>
          </wp:positionV>
          <wp:extent cx="7654925" cy="624205"/>
          <wp:effectExtent l="0" t="0" r="3175" b="4445"/>
          <wp:wrapSquare wrapText="bothSides"/>
          <wp:docPr id="338665983" name="Immagine 33866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2723" name="Immagine 1"/>
                  <pic:cNvPicPr/>
                </pic:nvPicPr>
                <pic:blipFill rotWithShape="1">
                  <a:blip r:embed="rId1">
                    <a:extLst>
                      <a:ext uri="{28A0092B-C50C-407E-A947-70E740481C1C}">
                        <a14:useLocalDpi xmlns:a14="http://schemas.microsoft.com/office/drawing/2010/main" val="0"/>
                      </a:ext>
                    </a:extLst>
                  </a:blip>
                  <a:srcRect t="5978" b="25300"/>
                  <a:stretch/>
                </pic:blipFill>
                <pic:spPr bwMode="auto">
                  <a:xfrm>
                    <a:off x="0" y="0"/>
                    <a:ext cx="76549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F1A8" w14:textId="77777777" w:rsidR="00BE6DF0" w:rsidRDefault="00BE6DF0" w:rsidP="001E3B2D">
      <w:r>
        <w:separator/>
      </w:r>
    </w:p>
  </w:footnote>
  <w:footnote w:type="continuationSeparator" w:id="0">
    <w:p w14:paraId="51E1B248" w14:textId="77777777" w:rsidR="00BE6DF0" w:rsidRDefault="00BE6DF0" w:rsidP="001E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BA94" w14:textId="2490F6D2" w:rsidR="001E3B2D" w:rsidRDefault="00F254BE">
    <w:pPr>
      <w:pStyle w:val="Intestazione"/>
    </w:pPr>
    <w:r>
      <w:rPr>
        <w:noProof/>
        <w:lang w:eastAsia="it-IT"/>
      </w:rPr>
      <w:drawing>
        <wp:anchor distT="0" distB="0" distL="114300" distR="114300" simplePos="0" relativeHeight="251660288" behindDoc="0" locked="0" layoutInCell="1" allowOverlap="1" wp14:anchorId="68598BA3" wp14:editId="7F694731">
          <wp:simplePos x="0" y="0"/>
          <wp:positionH relativeFrom="column">
            <wp:posOffset>-814743</wp:posOffset>
          </wp:positionH>
          <wp:positionV relativeFrom="paragraph">
            <wp:posOffset>-499984</wp:posOffset>
          </wp:positionV>
          <wp:extent cx="7585075" cy="1645285"/>
          <wp:effectExtent l="0" t="0" r="0" b="5715"/>
          <wp:wrapSquare wrapText="bothSides"/>
          <wp:docPr id="1890843975" name="Immagine 189084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014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5075" cy="1645285"/>
                  </a:xfrm>
                  <a:prstGeom prst="rect">
                    <a:avLst/>
                  </a:prstGeom>
                </pic:spPr>
              </pic:pic>
            </a:graphicData>
          </a:graphic>
          <wp14:sizeRelH relativeFrom="margin">
            <wp14:pctWidth>0</wp14:pctWidth>
          </wp14:sizeRelH>
          <wp14:sizeRelV relativeFrom="margin">
            <wp14:pctHeight>0</wp14:pctHeight>
          </wp14:sizeRelV>
        </wp:anchor>
      </w:drawing>
    </w:r>
  </w:p>
  <w:p w14:paraId="007AC6F4" w14:textId="77777777" w:rsidR="001E3B2D" w:rsidRDefault="001E3B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6BD7"/>
    <w:multiLevelType w:val="hybridMultilevel"/>
    <w:tmpl w:val="F376B328"/>
    <w:lvl w:ilvl="0" w:tplc="04100015">
      <w:start w:val="1"/>
      <w:numFmt w:val="upperLetter"/>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697" w:hanging="360"/>
      </w:pPr>
    </w:lvl>
    <w:lvl w:ilvl="3" w:tplc="0410000F">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140714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2D"/>
    <w:rsid w:val="00010ED1"/>
    <w:rsid w:val="0003072A"/>
    <w:rsid w:val="00041131"/>
    <w:rsid w:val="00096019"/>
    <w:rsid w:val="000D5B98"/>
    <w:rsid w:val="00197B21"/>
    <w:rsid w:val="001E3B2D"/>
    <w:rsid w:val="002421E6"/>
    <w:rsid w:val="00271F8D"/>
    <w:rsid w:val="002B02F8"/>
    <w:rsid w:val="002C2F64"/>
    <w:rsid w:val="00325F0B"/>
    <w:rsid w:val="00392858"/>
    <w:rsid w:val="00396509"/>
    <w:rsid w:val="00643610"/>
    <w:rsid w:val="009F3E37"/>
    <w:rsid w:val="00B02297"/>
    <w:rsid w:val="00B20588"/>
    <w:rsid w:val="00BE6DF0"/>
    <w:rsid w:val="00D865C4"/>
    <w:rsid w:val="00D97A5D"/>
    <w:rsid w:val="00DF2DF9"/>
    <w:rsid w:val="00EF0722"/>
    <w:rsid w:val="00F076DA"/>
    <w:rsid w:val="00F254BE"/>
    <w:rsid w:val="00F85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761E7F"/>
  <w15:chartTrackingRefBased/>
  <w15:docId w15:val="{C1BF8D42-7C3C-AB43-AA69-AB61211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B2D"/>
    <w:pPr>
      <w:tabs>
        <w:tab w:val="center" w:pos="4819"/>
        <w:tab w:val="right" w:pos="9638"/>
      </w:tabs>
    </w:pPr>
  </w:style>
  <w:style w:type="character" w:customStyle="1" w:styleId="IntestazioneCarattere">
    <w:name w:val="Intestazione Carattere"/>
    <w:basedOn w:val="Carpredefinitoparagrafo"/>
    <w:link w:val="Intestazione"/>
    <w:uiPriority w:val="99"/>
    <w:rsid w:val="001E3B2D"/>
  </w:style>
  <w:style w:type="paragraph" w:styleId="Pidipagina">
    <w:name w:val="footer"/>
    <w:basedOn w:val="Normale"/>
    <w:link w:val="PidipaginaCarattere"/>
    <w:uiPriority w:val="99"/>
    <w:unhideWhenUsed/>
    <w:rsid w:val="001E3B2D"/>
    <w:pPr>
      <w:tabs>
        <w:tab w:val="center" w:pos="4819"/>
        <w:tab w:val="right" w:pos="9638"/>
      </w:tabs>
    </w:pPr>
  </w:style>
  <w:style w:type="character" w:customStyle="1" w:styleId="PidipaginaCarattere">
    <w:name w:val="Piè di pagina Carattere"/>
    <w:basedOn w:val="Carpredefinitoparagrafo"/>
    <w:link w:val="Pidipagina"/>
    <w:uiPriority w:val="99"/>
    <w:rsid w:val="001E3B2D"/>
  </w:style>
  <w:style w:type="paragraph" w:styleId="Paragrafoelenco">
    <w:name w:val="List Paragraph"/>
    <w:basedOn w:val="Normale"/>
    <w:uiPriority w:val="34"/>
    <w:qFormat/>
    <w:rsid w:val="00EF0722"/>
    <w:pPr>
      <w:spacing w:after="160" w:line="259" w:lineRule="auto"/>
      <w:ind w:left="720"/>
      <w:contextualSpacing/>
    </w:pPr>
    <w:rPr>
      <w:kern w:val="2"/>
      <w:sz w:val="22"/>
      <w:szCs w:val="22"/>
      <w14:ligatures w14:val="standardContextual"/>
    </w:rPr>
  </w:style>
  <w:style w:type="character" w:styleId="Rimandocommento">
    <w:name w:val="annotation reference"/>
    <w:basedOn w:val="Carpredefinitoparagrafo"/>
    <w:uiPriority w:val="99"/>
    <w:semiHidden/>
    <w:unhideWhenUsed/>
    <w:rsid w:val="00EF0722"/>
    <w:rPr>
      <w:sz w:val="16"/>
      <w:szCs w:val="16"/>
    </w:rPr>
  </w:style>
  <w:style w:type="paragraph" w:styleId="Testocommento">
    <w:name w:val="annotation text"/>
    <w:basedOn w:val="Normale"/>
    <w:link w:val="TestocommentoCarattere"/>
    <w:uiPriority w:val="99"/>
    <w:unhideWhenUsed/>
    <w:rsid w:val="00EF0722"/>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EF0722"/>
    <w:rPr>
      <w:kern w:val="2"/>
      <w:sz w:val="20"/>
      <w:szCs w:val="20"/>
      <w14:ligatures w14:val="standardContextual"/>
    </w:rPr>
  </w:style>
  <w:style w:type="paragraph" w:styleId="Testonotaapidipagina">
    <w:name w:val="footnote text"/>
    <w:basedOn w:val="Normale"/>
    <w:link w:val="TestonotaapidipaginaCarattere"/>
    <w:uiPriority w:val="99"/>
    <w:semiHidden/>
    <w:unhideWhenUsed/>
    <w:rsid w:val="00EF0722"/>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F0722"/>
    <w:rPr>
      <w:kern w:val="2"/>
      <w:sz w:val="20"/>
      <w:szCs w:val="20"/>
      <w14:ligatures w14:val="standardContextual"/>
    </w:rPr>
  </w:style>
  <w:style w:type="character" w:styleId="Rimandonotaapidipagina">
    <w:name w:val="footnote reference"/>
    <w:basedOn w:val="Carpredefinitoparagrafo"/>
    <w:uiPriority w:val="99"/>
    <w:semiHidden/>
    <w:unhideWhenUsed/>
    <w:rsid w:val="00EF0722"/>
    <w:rPr>
      <w:vertAlign w:val="superscript"/>
    </w:rPr>
  </w:style>
  <w:style w:type="character" w:styleId="Collegamentoipertestuale">
    <w:name w:val="Hyperlink"/>
    <w:basedOn w:val="Carpredefinitoparagrafo"/>
    <w:uiPriority w:val="99"/>
    <w:unhideWhenUsed/>
    <w:rsid w:val="00B20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tecnico@wood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F45E7-B9D9-48CC-A7C4-D09171E2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750</Words>
  <Characters>4278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Lokomotiv</dc:creator>
  <cp:keywords/>
  <dc:description/>
  <cp:lastModifiedBy>Marco Martin</cp:lastModifiedBy>
  <cp:revision>12</cp:revision>
  <cp:lastPrinted>2023-10-26T10:41:00Z</cp:lastPrinted>
  <dcterms:created xsi:type="dcterms:W3CDTF">2023-11-22T14:27:00Z</dcterms:created>
  <dcterms:modified xsi:type="dcterms:W3CDTF">2024-01-15T11:55:00Z</dcterms:modified>
</cp:coreProperties>
</file>